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502C86" w14:textId="5061379A" w:rsidR="00CC52C4" w:rsidRDefault="000B7025" w:rsidP="002B35F9">
      <w:pPr>
        <w:spacing w:after="60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Colloque international</w:t>
      </w:r>
      <w:r w:rsidR="002B35F9">
        <w:rPr>
          <w:rFonts w:ascii="Times New Roman" w:eastAsia="Times New Roman" w:hAnsi="Times New Roman" w:cs="Times New Roman"/>
          <w:b/>
          <w:bCs/>
          <w:color w:val="000000"/>
        </w:rPr>
        <w:t xml:space="preserve"> - 26 &amp; 27 janvier 2026</w:t>
      </w:r>
    </w:p>
    <w:p w14:paraId="5D567568" w14:textId="77777777" w:rsidR="002B35F9" w:rsidRDefault="000B7025" w:rsidP="002B35F9">
      <w:pPr>
        <w:spacing w:after="600"/>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Voix plurilingues : repenser l’enseignement des langues autrement</w:t>
      </w:r>
    </w:p>
    <w:p w14:paraId="25A34FF5" w14:textId="79D3B8C2" w:rsidR="00CC52C4" w:rsidRDefault="000B7025" w:rsidP="002B35F9">
      <w:pPr>
        <w:spacing w:after="120"/>
        <w:jc w:val="both"/>
      </w:pPr>
      <w:r>
        <w:rPr>
          <w:rFonts w:ascii="Times New Roman" w:eastAsia="Times New Roman" w:hAnsi="Times New Roman" w:cs="Times New Roman"/>
          <w:color w:val="000000"/>
        </w:rPr>
        <w:t xml:space="preserve">Ce colloque international relatif à l'enseignement des langues en contexte arabophone vise à créer un espace de discussion sur les défis actuels dans le domaine de l'enseignement des langues. Nous avons pris comme positionnement de prendre la définition de la langue dans son sens le plus large, c'est-à-dire comme une manifestation dynamique et vitale de la communication humaine qui nous relie en tant qu'individus et en tant que communautés. Cette dimension sociale de la langue, fait écho au positionnement d’acteur social envisagé selon le Conseil de l’Europe dont « l’utilisateur/apprenant comme acteur social, coconstruisant du sens dans l’interaction, et par le développement des notions de médiation et de compétences plurilingues et pluriculturelles » </w:t>
      </w:r>
      <w:r>
        <w:rPr>
          <w:rFonts w:ascii="Times New Roman" w:hAnsi="Times New Roman" w:cs="Times New Roman"/>
          <w:color w:val="000000"/>
        </w:rPr>
        <w:t>(Conseil de l’Europe, 2021, p.21)</w:t>
      </w:r>
      <w:r>
        <w:rPr>
          <w:rFonts w:ascii="Times New Roman" w:eastAsia="Times New Roman" w:hAnsi="Times New Roman" w:cs="Times New Roman"/>
          <w:color w:val="000000"/>
        </w:rPr>
        <w:t>. Mise en valeur également par les travaux de la sociolinguistique (</w:t>
      </w:r>
      <w:proofErr w:type="spellStart"/>
      <w:r>
        <w:rPr>
          <w:rFonts w:ascii="Times New Roman" w:eastAsia="Times New Roman" w:hAnsi="Times New Roman" w:cs="Times New Roman"/>
          <w:color w:val="000000"/>
        </w:rPr>
        <w:t>Cuq</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Gruca</w:t>
      </w:r>
      <w:proofErr w:type="spellEnd"/>
      <w:r>
        <w:rPr>
          <w:rFonts w:ascii="Times New Roman" w:eastAsia="Times New Roman" w:hAnsi="Times New Roman" w:cs="Times New Roman"/>
          <w:color w:val="000000"/>
        </w:rPr>
        <w:t>, 2017), le concept de langue offre un aspect social plus « large comme la partie de la linguistique qui s’occupe des rapports entre les langues et leurs locuteurs » (</w:t>
      </w:r>
      <w:proofErr w:type="spellStart"/>
      <w:r w:rsidR="002B35F9">
        <w:rPr>
          <w:rFonts w:ascii="Times New Roman" w:eastAsia="Times New Roman" w:hAnsi="Times New Roman" w:cs="Times New Roman"/>
          <w:color w:val="000000"/>
        </w:rPr>
        <w:t>i</w:t>
      </w:r>
      <w:r>
        <w:rPr>
          <w:rFonts w:ascii="Times New Roman" w:eastAsia="Times New Roman" w:hAnsi="Times New Roman" w:cs="Times New Roman"/>
          <w:color w:val="000000"/>
        </w:rPr>
        <w:t>bid</w:t>
      </w:r>
      <w:proofErr w:type="spellEnd"/>
      <w:r>
        <w:rPr>
          <w:rFonts w:ascii="Times New Roman" w:eastAsia="Times New Roman" w:hAnsi="Times New Roman" w:cs="Times New Roman"/>
          <w:color w:val="000000"/>
        </w:rPr>
        <w:t xml:space="preserve">, p.72). Ainsi, son enseignement ne se limite pas simplement à la transmission de savoirs linguistiques </w:t>
      </w:r>
      <w:r>
        <w:rPr>
          <w:rFonts w:ascii="Times New Roman" w:eastAsia="Times New Roman" w:hAnsi="Times New Roman" w:cs="Times New Roman"/>
          <w:color w:val="333333"/>
        </w:rPr>
        <w:t>mais intègre également une dimension interculturelle essentielle à la compréhension et à l’interaction dans des environnements plurilingues (</w:t>
      </w:r>
      <w:proofErr w:type="spellStart"/>
      <w:r>
        <w:rPr>
          <w:rFonts w:ascii="Times New Roman" w:eastAsia="Times New Roman" w:hAnsi="Times New Roman" w:cs="Times New Roman"/>
          <w:color w:val="333333"/>
        </w:rPr>
        <w:t>Byram</w:t>
      </w:r>
      <w:proofErr w:type="spellEnd"/>
      <w:r>
        <w:rPr>
          <w:rFonts w:ascii="Times New Roman" w:eastAsia="Times New Roman" w:hAnsi="Times New Roman" w:cs="Times New Roman"/>
          <w:color w:val="333333"/>
        </w:rPr>
        <w:t>, 2009).</w:t>
      </w:r>
    </w:p>
    <w:p w14:paraId="053F341D" w14:textId="77777777" w:rsidR="00CC52C4" w:rsidRDefault="000B7025" w:rsidP="002B35F9">
      <w:pPr>
        <w:spacing w:after="120"/>
        <w:jc w:val="both"/>
      </w:pPr>
      <w:r>
        <w:rPr>
          <w:rFonts w:ascii="Times New Roman" w:eastAsia="Times New Roman" w:hAnsi="Times New Roman" w:cs="Times New Roman"/>
          <w:color w:val="000000"/>
        </w:rPr>
        <w:t xml:space="preserve">Le thème central de ce colloque est de repenser l’enseignement des langues, en dépassant la vision traditionnelle de la langue comme un système à maîtriser, pour aller vers une vision de la langue comme un outil puissant de médiation, d'interaction et de connexions humaines. Ce choix invite les chercheurs et les praticiens à venir exposer et explorer des pédagogies innovantes et pluridisciplinaires qui reflètent la complexité de la communication dans nos sociétés modernes où interagissent des acteurs sociaux plurilingues. </w:t>
      </w:r>
    </w:p>
    <w:p w14:paraId="64BEE24C" w14:textId="551C2546" w:rsidR="00CC52C4" w:rsidRDefault="000B7025" w:rsidP="002B35F9">
      <w:pPr>
        <w:spacing w:after="120"/>
        <w:jc w:val="both"/>
      </w:pPr>
      <w:r>
        <w:rPr>
          <w:rFonts w:ascii="Times New Roman" w:eastAsia="Times New Roman" w:hAnsi="Times New Roman" w:cs="Times New Roman"/>
          <w:color w:val="000000"/>
        </w:rPr>
        <w:t xml:space="preserve">Cet </w:t>
      </w:r>
      <w:r w:rsidR="002B35F9">
        <w:rPr>
          <w:rFonts w:ascii="Times New Roman" w:eastAsia="Times New Roman" w:hAnsi="Times New Roman" w:cs="Times New Roman"/>
          <w:color w:val="000000"/>
        </w:rPr>
        <w:t>événement</w:t>
      </w:r>
      <w:r>
        <w:rPr>
          <w:rFonts w:ascii="Times New Roman" w:eastAsia="Times New Roman" w:hAnsi="Times New Roman" w:cs="Times New Roman"/>
          <w:color w:val="000000"/>
        </w:rPr>
        <w:t xml:space="preserve"> multilingue, qui pourra se tenir en français, en anglais, en chinois et en arabe, célèbre la richesse de toutes les langues et affirme la valeur de la pluralité des langues dans le domaine de l'éducation. C'est précisément cette pluralité que la conférence cherche à embrasser et à promouvoir. En effet, avec l’évolution actuelle du monde, le plurilinguisme fait désormais partie de l’identité des individus. Comme le rapporte Françoise </w:t>
      </w:r>
      <w:proofErr w:type="spellStart"/>
      <w:r>
        <w:rPr>
          <w:rFonts w:ascii="Times New Roman" w:eastAsia="Times New Roman" w:hAnsi="Times New Roman" w:cs="Times New Roman"/>
          <w:color w:val="000000"/>
        </w:rPr>
        <w:t>Hickel</w:t>
      </w:r>
      <w:proofErr w:type="spellEnd"/>
      <w:r>
        <w:rPr>
          <w:rFonts w:ascii="Times New Roman" w:eastAsia="Times New Roman" w:hAnsi="Times New Roman" w:cs="Times New Roman"/>
          <w:color w:val="000000"/>
        </w:rPr>
        <w:t xml:space="preserve"> (2007) à propos de l’ouvrage de Danièle Moore, </w:t>
      </w:r>
      <w:r>
        <w:rPr>
          <w:rFonts w:ascii="Times New Roman" w:eastAsia="Times New Roman" w:hAnsi="Times New Roman" w:cs="Times New Roman"/>
          <w:i/>
          <w:iCs/>
          <w:color w:val="000000"/>
        </w:rPr>
        <w:t>Plurilinguismes et école</w:t>
      </w:r>
      <w:r>
        <w:rPr>
          <w:rFonts w:ascii="Times New Roman" w:eastAsia="Times New Roman" w:hAnsi="Times New Roman" w:cs="Times New Roman"/>
          <w:color w:val="000000"/>
        </w:rPr>
        <w:t xml:space="preserve">, « le répertoire est complexe, pluriel et dynamique. Les contacts de langues et de cultures, et les formes d’alternances peuvent constituer des ressources, dont on peut exploiter le potentiel d’apprentissage </w:t>
      </w:r>
      <w:r>
        <w:rPr>
          <w:rFonts w:ascii="Symbol" w:eastAsia="Symbol" w:hAnsi="Symbol" w:cs="Symbol"/>
          <w:color w:val="000000"/>
        </w:rPr>
        <w:t>[</w:t>
      </w:r>
      <w:r>
        <w:rPr>
          <w:rFonts w:ascii="Times New Roman" w:eastAsia="Times New Roman" w:hAnsi="Times New Roman" w:cs="Times New Roman"/>
          <w:color w:val="000000"/>
        </w:rPr>
        <w:t>...</w:t>
      </w:r>
      <w:r>
        <w:rPr>
          <w:rFonts w:ascii="Symbol" w:eastAsia="Symbol" w:hAnsi="Symbol" w:cs="Symbol"/>
          <w:color w:val="000000"/>
        </w:rPr>
        <w:t>]</w:t>
      </w:r>
      <w:r>
        <w:rPr>
          <w:rFonts w:ascii="Times New Roman" w:eastAsia="Times New Roman" w:hAnsi="Times New Roman" w:cs="Times New Roman"/>
          <w:color w:val="000000"/>
        </w:rPr>
        <w:t xml:space="preserve"> ». Dès lors, il semble nécessaire que l’enseignement des langues prenne en compte et s’appuie sur le répertoire plurilingue des apprenants.</w:t>
      </w:r>
    </w:p>
    <w:p w14:paraId="09FC6C6F" w14:textId="77777777" w:rsidR="00CC52C4" w:rsidRDefault="000B7025" w:rsidP="002B35F9">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Cette manifestation scientifique se tiendra à Sorbonne University Abu Dhabi, dont la devise, « un pont entre les civilisations », s’inscrit pleinement dans la philosophie de cet événement scientifique, en affirmant la volonté de créer des liens entre les langues. Ce lieu constitue un cadre propice pour encourager une réflexion commune profonde, ouverte et critique sur les enjeux de l’enseignement des langues en contexte arabophone. </w:t>
      </w:r>
    </w:p>
    <w:p w14:paraId="33D8843D"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Elle s’articulera autour de trois grands axes : </w:t>
      </w:r>
    </w:p>
    <w:p w14:paraId="37434B79" w14:textId="77777777" w:rsidR="001F18A9" w:rsidRDefault="001F18A9" w:rsidP="002B35F9">
      <w:pPr>
        <w:spacing w:before="240"/>
        <w:jc w:val="both"/>
        <w:rPr>
          <w:rFonts w:ascii="Times New Roman" w:eastAsia="Times New Roman" w:hAnsi="Times New Roman" w:cs="Times New Roman"/>
          <w:color w:val="000000"/>
        </w:rPr>
      </w:pPr>
    </w:p>
    <w:p w14:paraId="3FAD819F" w14:textId="56207C09" w:rsidR="00CC52C4" w:rsidRDefault="000B7025" w:rsidP="002B35F9">
      <w:pPr>
        <w:spacing w:before="24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lastRenderedPageBreak/>
        <w:t>Axe 1 : Transversalité et Plurilinguisme</w:t>
      </w:r>
    </w:p>
    <w:p w14:paraId="7E5287E6" w14:textId="77777777" w:rsidR="00CC52C4" w:rsidRDefault="000B7025" w:rsidP="002B35F9">
      <w:pPr>
        <w:spacing w:after="0"/>
        <w:jc w:val="both"/>
      </w:pPr>
      <w:r>
        <w:rPr>
          <w:rFonts w:ascii="Times New Roman" w:eastAsia="Times New Roman" w:hAnsi="Times New Roman" w:cs="Times New Roman"/>
          <w:color w:val="000000"/>
        </w:rPr>
        <w:t xml:space="preserve">La notion de transversalité, en tant que compétence et savoir, se réfère ici, dans le contexte de ce colloque, à une notion devenue essentielle. </w:t>
      </w:r>
      <w:r>
        <w:rPr>
          <w:rFonts w:ascii="Times New Roman" w:eastAsia="Times New Roman" w:hAnsi="Times New Roman" w:cs="Times New Roman"/>
          <w:i/>
          <w:iCs/>
          <w:color w:val="000000"/>
        </w:rPr>
        <w:t>Trans-</w:t>
      </w:r>
      <w:r>
        <w:rPr>
          <w:rFonts w:ascii="Times New Roman" w:eastAsia="Times New Roman" w:hAnsi="Times New Roman" w:cs="Times New Roman"/>
          <w:color w:val="000000"/>
        </w:rPr>
        <w:t xml:space="preserve"> signifie au-delà, il a une « valeur de mouvement [...] qu’on retrouve en didactique avec une acception métaphorique un peu différente : ce qui passe à travers se retrouve dans chaque élément » (</w:t>
      </w:r>
      <w:proofErr w:type="spellStart"/>
      <w:r>
        <w:rPr>
          <w:rFonts w:ascii="Times New Roman" w:eastAsia="Times New Roman" w:hAnsi="Times New Roman" w:cs="Times New Roman"/>
          <w:color w:val="000000"/>
        </w:rPr>
        <w:t>Chnane-Davin</w:t>
      </w:r>
      <w:proofErr w:type="spellEnd"/>
      <w:r>
        <w:rPr>
          <w:rFonts w:ascii="Times New Roman" w:eastAsia="Times New Roman" w:hAnsi="Times New Roman" w:cs="Times New Roman"/>
          <w:color w:val="000000"/>
        </w:rPr>
        <w:t xml:space="preserve"> &amp; </w:t>
      </w:r>
      <w:proofErr w:type="spellStart"/>
      <w:r>
        <w:rPr>
          <w:rFonts w:ascii="Times New Roman" w:eastAsia="Times New Roman" w:hAnsi="Times New Roman" w:cs="Times New Roman"/>
          <w:color w:val="000000"/>
        </w:rPr>
        <w:t>Cuq</w:t>
      </w:r>
      <w:proofErr w:type="spellEnd"/>
      <w:r>
        <w:rPr>
          <w:rFonts w:ascii="Times New Roman" w:eastAsia="Times New Roman" w:hAnsi="Times New Roman" w:cs="Times New Roman"/>
          <w:color w:val="000000"/>
        </w:rPr>
        <w:t xml:space="preserve">, 2008, p. 10).  Cette notion correspond donc au transfert et à la mobilisation de connaissances ou de compétences entre diverses situations. En contexte d’enseignement, cela peut se traduire par exemple par un projet en langue étrangère où les apprenants réalisent des exposés sur des sites patrimoniaux ou des œuvres artistiques entre autres (Muller &amp; </w:t>
      </w:r>
      <w:proofErr w:type="spellStart"/>
      <w:r>
        <w:rPr>
          <w:rFonts w:ascii="Times New Roman" w:eastAsia="Times New Roman" w:hAnsi="Times New Roman" w:cs="Times New Roman"/>
          <w:color w:val="000000"/>
        </w:rPr>
        <w:t>Borgé</w:t>
      </w:r>
      <w:proofErr w:type="spellEnd"/>
      <w:r>
        <w:rPr>
          <w:rFonts w:ascii="Times New Roman" w:eastAsia="Times New Roman" w:hAnsi="Times New Roman" w:cs="Times New Roman"/>
          <w:color w:val="000000"/>
        </w:rPr>
        <w:t>, 2020). Il ne s'agit pas ici d'accumuler des compétences dans diverses situations, mais plutôt de les appliquer dans divers contextes.</w:t>
      </w:r>
    </w:p>
    <w:p w14:paraId="3F348C46" w14:textId="77777777" w:rsidR="00CC52C4" w:rsidRDefault="000B7025" w:rsidP="002B35F9">
      <w:pPr>
        <w:spacing w:after="120"/>
        <w:jc w:val="both"/>
      </w:pPr>
      <w:r>
        <w:rPr>
          <w:rFonts w:ascii="Times New Roman" w:eastAsia="Times New Roman" w:hAnsi="Times New Roman" w:cs="Times New Roman"/>
          <w:color w:val="000000"/>
        </w:rPr>
        <w:t xml:space="preserve">L'acquisition de la compétence plurilingue repose aussi sur cette vision ouverte et sans frontières de l'apprentissage de différentes langues. La compétence plurilingue et pluriculturelle est la capacité d’une personne à communiquer en plusieurs langues et à interagir dans plusieurs cultures et même si elle ne les maîtrise pas toutes parfaitement, elle reste une compétence transversale, qui ne correspond pas à « une superposition ou juxtaposition de compétences toujours distinctes » (Coste, Moore &amp; </w:t>
      </w:r>
      <w:proofErr w:type="spellStart"/>
      <w:r>
        <w:rPr>
          <w:rFonts w:ascii="Times New Roman" w:eastAsia="Times New Roman" w:hAnsi="Times New Roman" w:cs="Times New Roman"/>
          <w:color w:val="000000"/>
        </w:rPr>
        <w:t>Zarate</w:t>
      </w:r>
      <w:proofErr w:type="spellEnd"/>
      <w:r>
        <w:rPr>
          <w:rFonts w:ascii="Times New Roman" w:eastAsia="Times New Roman" w:hAnsi="Times New Roman" w:cs="Times New Roman"/>
          <w:color w:val="000000"/>
        </w:rPr>
        <w:t>, 1997/2009, p.11).</w:t>
      </w:r>
    </w:p>
    <w:p w14:paraId="5DF62DDF" w14:textId="77777777" w:rsidR="00CC52C4" w:rsidRDefault="000B7025" w:rsidP="002B35F9">
      <w:pPr>
        <w:spacing w:after="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Ces enjeux prennent une dimension particulière dans les contextes arabophones, où la compétence plurilingue et les approches pédagogiques transversales pourraient offrir des perspectives renouvelées pour l’enseignement des langues. Les communications attendues pour cet axe pourront porter sur : </w:t>
      </w:r>
    </w:p>
    <w:p w14:paraId="721D8BFA" w14:textId="77777777" w:rsidR="001F18A9" w:rsidRPr="001F18A9" w:rsidRDefault="000B7025" w:rsidP="001F18A9">
      <w:pPr>
        <w:pStyle w:val="ListParagraph"/>
        <w:numPr>
          <w:ilvl w:val="0"/>
          <w:numId w:val="1"/>
        </w:numPr>
        <w:jc w:val="both"/>
      </w:pPr>
      <w:r>
        <w:rPr>
          <w:rFonts w:ascii="Times New Roman" w:eastAsia="Times New Roman" w:hAnsi="Times New Roman" w:cs="Times New Roman"/>
          <w:color w:val="000000"/>
        </w:rPr>
        <w:t xml:space="preserve">La présentation de travaux de recherche, de dispositifs pédagogiques d’enseignement-apprentissage intégrant les langues dans une logique transversale ; </w:t>
      </w:r>
    </w:p>
    <w:p w14:paraId="098C5783" w14:textId="290CFB9D" w:rsidR="00A2485D" w:rsidRPr="001F18A9" w:rsidRDefault="000B7025" w:rsidP="001F18A9">
      <w:pPr>
        <w:pStyle w:val="ListParagraph"/>
        <w:numPr>
          <w:ilvl w:val="0"/>
          <w:numId w:val="1"/>
        </w:numPr>
        <w:jc w:val="both"/>
      </w:pPr>
      <w:r w:rsidRPr="001F18A9">
        <w:rPr>
          <w:rFonts w:ascii="Times New Roman" w:eastAsia="Times New Roman" w:hAnsi="Times New Roman" w:cs="Times New Roman"/>
          <w:color w:val="000000"/>
        </w:rPr>
        <w:t>La présentation de travaux de recherche, de dispositifs pédagogiques d’enseignement apprentissage explorant la compétence plurilingue.</w:t>
      </w:r>
    </w:p>
    <w:p w14:paraId="1472955A" w14:textId="77777777" w:rsidR="00CC52C4" w:rsidRDefault="000B7025" w:rsidP="002B35F9">
      <w:pPr>
        <w:jc w:val="both"/>
      </w:pPr>
      <w:r>
        <w:rPr>
          <w:rFonts w:ascii="Times New Roman" w:eastAsia="Times New Roman" w:hAnsi="Times New Roman" w:cs="Times New Roman"/>
          <w:b/>
          <w:bCs/>
          <w:color w:val="000000"/>
        </w:rPr>
        <w:t>Axe 2 : Conception de curricula et plurilinguisme</w:t>
      </w:r>
    </w:p>
    <w:p w14:paraId="0AD85A77" w14:textId="10707181" w:rsidR="00CC52C4" w:rsidRDefault="000B7025" w:rsidP="002B35F9">
      <w:pPr>
        <w:jc w:val="both"/>
      </w:pPr>
      <w:r>
        <w:rPr>
          <w:rFonts w:ascii="Times New Roman" w:eastAsia="Times New Roman" w:hAnsi="Times New Roman" w:cs="Times New Roman"/>
          <w:color w:val="000000"/>
        </w:rPr>
        <w:t>Transparent en français et en anglais, le terme de curriculum est un outil</w:t>
      </w:r>
      <w:r w:rsidR="002B35F9">
        <w:rPr>
          <w:rFonts w:ascii="Times New Roman" w:eastAsia="Times New Roman" w:hAnsi="Times New Roman" w:cs="Times New Roman"/>
          <w:color w:val="000000"/>
        </w:rPr>
        <w:t>-</w:t>
      </w:r>
      <w:r>
        <w:rPr>
          <w:rFonts w:ascii="Times New Roman" w:eastAsia="Times New Roman" w:hAnsi="Times New Roman" w:cs="Times New Roman"/>
          <w:color w:val="000000"/>
        </w:rPr>
        <w:t>cadre de l’enseignement de langues. « Un curriculum est, ici, la forme que prend l’action de rationalisation conduite par des décideurs de l’éducation pour faciliter une expérience d’apprentissage » (Martinez, 2011, p.275). Cette définition place au cœur de curriculum, la nécessité d’organiser les apprentissages de manière « rationnelle »</w:t>
      </w:r>
      <w:r w:rsidR="002B35F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autrement dit d’offrir aux apprenants une approche choisie soutenant leur apprentissage. On retrouve ici la centralisation de l’apprenant au cœur de l’enseignement des langues. Néanmoins, avec l’essor de la mondialisation, le plurilinguisme devient une composante reconnue. Il devient nécessaire d’intégrer la compétence plurilingue et pluriculturelle dans les curricula.</w:t>
      </w:r>
    </w:p>
    <w:p w14:paraId="2913469F"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Ce symposium propose d’inviter les participants à partager leur expérience d’intégration du plurilinguisme dans les curricula ainsi que leurs réflexions pour renforcer et faciliter cette intégration.</w:t>
      </w:r>
    </w:p>
    <w:p w14:paraId="63890EDC"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Ce symposium propose d’inviter les participants à partager leur expérience curriculaire dans l’enseignement des langues, ainsi que leurs réflexions pour renforcer et faciliter cette expérience d’apprentissage.</w:t>
      </w:r>
    </w:p>
    <w:p w14:paraId="1C0C0A9B"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Les contributions attendues pour cet axe pourront porter sur : </w:t>
      </w:r>
    </w:p>
    <w:p w14:paraId="14FF9961" w14:textId="77777777" w:rsidR="00CC52C4" w:rsidRDefault="000B7025" w:rsidP="002B35F9">
      <w:pPr>
        <w:pStyle w:val="ListParagraph"/>
        <w:numPr>
          <w:ilvl w:val="0"/>
          <w:numId w:val="2"/>
        </w:num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La description ou le questionnement des objectifs éducatifs dans un curriculum en contexte arabophone ;</w:t>
      </w:r>
    </w:p>
    <w:p w14:paraId="7F0E1869" w14:textId="1B2ECBCD" w:rsidR="002B35F9" w:rsidRDefault="000B7025" w:rsidP="00D64A76">
      <w:pPr>
        <w:pStyle w:val="ListParagraph"/>
        <w:numPr>
          <w:ilvl w:val="0"/>
          <w:numId w:val="2"/>
        </w:numPr>
        <w:jc w:val="both"/>
      </w:pPr>
      <w:r>
        <w:rPr>
          <w:rFonts w:ascii="Times New Roman" w:eastAsia="Times New Roman" w:hAnsi="Times New Roman" w:cs="Times New Roman"/>
          <w:color w:val="000000"/>
        </w:rPr>
        <w:t>La création ou l’adaptation, l’organisation des apprentissage</w:t>
      </w:r>
      <w:r w:rsidR="002B35F9">
        <w:rPr>
          <w:rFonts w:ascii="Times New Roman" w:eastAsia="Times New Roman" w:hAnsi="Times New Roman" w:cs="Times New Roman"/>
          <w:color w:val="000000"/>
        </w:rPr>
        <w:t>s</w:t>
      </w:r>
      <w:r>
        <w:rPr>
          <w:rFonts w:ascii="Times New Roman" w:eastAsia="Times New Roman" w:hAnsi="Times New Roman" w:cs="Times New Roman"/>
          <w:color w:val="000000"/>
        </w:rPr>
        <w:t xml:space="preserve"> et l’application de curriculum dans l’enseignement des langues.</w:t>
      </w:r>
    </w:p>
    <w:p w14:paraId="7C532C7A" w14:textId="77777777" w:rsidR="00CC52C4" w:rsidRDefault="000B7025" w:rsidP="002B35F9">
      <w:pPr>
        <w:spacing w:before="24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Axe 3 : Expériences pédagogiques et pratiques enseignantes</w:t>
      </w:r>
    </w:p>
    <w:p w14:paraId="1DDE4008" w14:textId="70636AA1" w:rsidR="00CC52C4" w:rsidRDefault="000B7025" w:rsidP="002B35F9">
      <w:pPr>
        <w:spacing w:after="0"/>
        <w:jc w:val="both"/>
      </w:pPr>
      <w:r>
        <w:rPr>
          <w:rFonts w:ascii="Times New Roman" w:eastAsia="Times New Roman" w:hAnsi="Times New Roman" w:cs="Times New Roman"/>
          <w:color w:val="000000"/>
        </w:rPr>
        <w:t>Enseigner une langue, même dans des contextes culturels très différents, repose sur une expérience pédagogique partagée. En effet, « lorsqu’on s’adresse à des professeurs qui viennent de pays et de culture très différents, on s’aperçoit que quelque chose transcende les différences, et que leurs réactions sont différentes de personnes qui n’auraient pas enseigné » (</w:t>
      </w:r>
      <w:proofErr w:type="spellStart"/>
      <w:r>
        <w:rPr>
          <w:rFonts w:ascii="Times New Roman" w:eastAsia="Times New Roman" w:hAnsi="Times New Roman" w:cs="Times New Roman"/>
          <w:color w:val="000000"/>
        </w:rPr>
        <w:t>Cicurel</w:t>
      </w:r>
      <w:proofErr w:type="spellEnd"/>
      <w:r>
        <w:rPr>
          <w:rFonts w:ascii="Times New Roman" w:eastAsia="Times New Roman" w:hAnsi="Times New Roman" w:cs="Times New Roman"/>
          <w:color w:val="000000"/>
        </w:rPr>
        <w:t>, 2011, p.157). Ainsi</w:t>
      </w:r>
      <w:r w:rsidR="002B35F9">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les enseignants auraient une pratique enseignante commune. Cela suggère qu’il existe une forme de « terreau commun » (Cambra citée par </w:t>
      </w:r>
      <w:proofErr w:type="spellStart"/>
      <w:r>
        <w:rPr>
          <w:rFonts w:ascii="Times New Roman" w:eastAsia="Times New Roman" w:hAnsi="Times New Roman" w:cs="Times New Roman"/>
          <w:color w:val="000000"/>
        </w:rPr>
        <w:t>Cicurel</w:t>
      </w:r>
      <w:proofErr w:type="spellEnd"/>
      <w:r>
        <w:rPr>
          <w:rFonts w:ascii="Times New Roman" w:eastAsia="Times New Roman" w:hAnsi="Times New Roman" w:cs="Times New Roman"/>
          <w:color w:val="000000"/>
        </w:rPr>
        <w:t xml:space="preserve">, 2011, p.157), qui donne aux enseignants une pratique professionnelle commune. </w:t>
      </w:r>
    </w:p>
    <w:p w14:paraId="724B222F"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Cependant, ces pratiques sont le résultat d’un processus incluant un ensemble de décisions individuelles et contextuelles, comme le rappelle </w:t>
      </w:r>
      <w:proofErr w:type="spellStart"/>
      <w:r>
        <w:rPr>
          <w:rFonts w:ascii="Times New Roman" w:eastAsia="Times New Roman" w:hAnsi="Times New Roman" w:cs="Times New Roman"/>
          <w:color w:val="000000"/>
        </w:rPr>
        <w:t>Altet</w:t>
      </w:r>
      <w:proofErr w:type="spellEnd"/>
      <w:r>
        <w:rPr>
          <w:rFonts w:ascii="Times New Roman" w:eastAsia="Times New Roman" w:hAnsi="Times New Roman" w:cs="Times New Roman"/>
          <w:color w:val="000000"/>
        </w:rPr>
        <w:t xml:space="preserve"> et al., (2012, p.37) qui définissent la pratique enseignante comme « la manière de faire singulière d’une personne, sa façon réelle, propre, d’exécuter une activité professionnelle dans une institution d’enseignement. ». Les pratiques pédagogiques sont donc multidimensionnelles et s’adaptent aux situations et aux sujets.</w:t>
      </w:r>
    </w:p>
    <w:p w14:paraId="476B5684"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Ainsi, cet axe propose d’explorer cette variété de pratiques, en offrant un espace pour faire entendre les multiples façons d’enseigner les langues en contexte arabophone.</w:t>
      </w:r>
    </w:p>
    <w:p w14:paraId="7BE2E017" w14:textId="77777777" w:rsidR="00CC52C4" w:rsidRDefault="000B7025" w:rsidP="002B35F9">
      <w:pPr>
        <w:jc w:val="both"/>
        <w:rPr>
          <w:rFonts w:ascii="Times New Roman" w:eastAsia="Times New Roman" w:hAnsi="Times New Roman" w:cs="Times New Roman"/>
          <w:color w:val="000000"/>
        </w:rPr>
      </w:pPr>
      <w:r>
        <w:rPr>
          <w:rFonts w:ascii="Times New Roman" w:eastAsia="Times New Roman" w:hAnsi="Times New Roman" w:cs="Times New Roman"/>
          <w:color w:val="000000"/>
        </w:rPr>
        <w:t>Les communications attendues pour cet axe pourront porter sur :</w:t>
      </w:r>
    </w:p>
    <w:p w14:paraId="10118249" w14:textId="77777777" w:rsidR="00A2485D" w:rsidRDefault="000B7025" w:rsidP="00A2485D">
      <w:pPr>
        <w:pStyle w:val="ListParagraph"/>
        <w:numPr>
          <w:ilvl w:val="0"/>
          <w:numId w:val="3"/>
        </w:numPr>
        <w:spacing w:after="0"/>
        <w:jc w:val="both"/>
        <w:rPr>
          <w:rFonts w:ascii="Times New Roman" w:eastAsia="Times New Roman" w:hAnsi="Times New Roman" w:cs="Times New Roman"/>
          <w:color w:val="000000"/>
        </w:rPr>
      </w:pPr>
      <w:r>
        <w:rPr>
          <w:rFonts w:ascii="Times New Roman" w:eastAsia="Times New Roman" w:hAnsi="Times New Roman" w:cs="Times New Roman"/>
          <w:color w:val="000000"/>
        </w:rPr>
        <w:t>Des retours d’expériences en classe de langue (tout niveau) ;</w:t>
      </w:r>
    </w:p>
    <w:p w14:paraId="54CA9D72" w14:textId="4BC2ED2C" w:rsidR="00A2485D" w:rsidRPr="00A2485D" w:rsidRDefault="000B7025" w:rsidP="00A2485D">
      <w:pPr>
        <w:pStyle w:val="ListParagraph"/>
        <w:numPr>
          <w:ilvl w:val="0"/>
          <w:numId w:val="3"/>
        </w:numPr>
        <w:spacing w:after="0"/>
        <w:jc w:val="both"/>
        <w:rPr>
          <w:rFonts w:ascii="Times New Roman" w:eastAsia="Times New Roman" w:hAnsi="Times New Roman" w:cs="Times New Roman"/>
          <w:color w:val="000000"/>
        </w:rPr>
      </w:pPr>
      <w:r w:rsidRPr="00A2485D">
        <w:rPr>
          <w:rFonts w:ascii="Times New Roman" w:eastAsia="Times New Roman" w:hAnsi="Times New Roman" w:cs="Times New Roman"/>
          <w:color w:val="000000"/>
        </w:rPr>
        <w:t>Des expérimentations menées sur le terrain ;</w:t>
      </w:r>
    </w:p>
    <w:p w14:paraId="05FA331F" w14:textId="4A19A48D" w:rsidR="00CC52C4" w:rsidRPr="00A2485D" w:rsidRDefault="000B7025" w:rsidP="00A2485D">
      <w:pPr>
        <w:pStyle w:val="ListParagraph"/>
        <w:numPr>
          <w:ilvl w:val="0"/>
          <w:numId w:val="3"/>
        </w:numPr>
        <w:jc w:val="both"/>
        <w:rPr>
          <w:rFonts w:ascii="Times New Roman" w:eastAsia="Times New Roman" w:hAnsi="Times New Roman" w:cs="Times New Roman"/>
          <w:color w:val="000000"/>
        </w:rPr>
      </w:pPr>
      <w:r w:rsidRPr="00A2485D">
        <w:rPr>
          <w:rFonts w:ascii="Times New Roman" w:eastAsia="Times New Roman" w:hAnsi="Times New Roman" w:cs="Times New Roman"/>
          <w:color w:val="000000"/>
        </w:rPr>
        <w:t>Des réflexions sur la posture de l’enseignant.</w:t>
      </w:r>
    </w:p>
    <w:p w14:paraId="74BEF782" w14:textId="77777777" w:rsidR="002B35F9" w:rsidRDefault="002B35F9" w:rsidP="002B35F9">
      <w:pPr>
        <w:jc w:val="both"/>
        <w:rPr>
          <w:rFonts w:ascii="Times New Roman" w:eastAsia="Times New Roman" w:hAnsi="Times New Roman" w:cs="Times New Roman"/>
          <w:color w:val="000000"/>
        </w:rPr>
      </w:pPr>
    </w:p>
    <w:p w14:paraId="6A87E1AF" w14:textId="4A63E116" w:rsidR="00CC52C4" w:rsidRDefault="000B7025" w:rsidP="002B35F9">
      <w:pPr>
        <w:jc w:val="both"/>
      </w:pPr>
      <w:r>
        <w:rPr>
          <w:rFonts w:ascii="Times New Roman" w:eastAsia="Times New Roman" w:hAnsi="Times New Roman" w:cs="Times New Roman"/>
          <w:color w:val="000000"/>
        </w:rPr>
        <w:t xml:space="preserve">Dans la continuité de la journée </w:t>
      </w:r>
      <w:r w:rsidR="002B35F9">
        <w:rPr>
          <w:rFonts w:ascii="Times New Roman" w:eastAsia="Times New Roman" w:hAnsi="Times New Roman" w:cs="Times New Roman"/>
          <w:color w:val="000000"/>
        </w:rPr>
        <w:t>i</w:t>
      </w:r>
      <w:r>
        <w:rPr>
          <w:rFonts w:ascii="Times New Roman" w:eastAsia="Times New Roman" w:hAnsi="Times New Roman" w:cs="Times New Roman"/>
          <w:color w:val="000000"/>
        </w:rPr>
        <w:t xml:space="preserve">nternationale de l’Éducation (UNESCO), ce colloque international se tiendra les 26 et 27 janvier 2026 en présentiel uniquement. </w:t>
      </w:r>
    </w:p>
    <w:p w14:paraId="79E9E3F7" w14:textId="77777777" w:rsidR="00CC52C4" w:rsidRDefault="000B7025" w:rsidP="002B35F9">
      <w:pPr>
        <w:jc w:val="both"/>
      </w:pPr>
      <w:r>
        <w:rPr>
          <w:rFonts w:ascii="Times New Roman" w:eastAsia="Times New Roman" w:hAnsi="Times New Roman" w:cs="Times New Roman"/>
          <w:color w:val="000000"/>
        </w:rPr>
        <w:t>Les propositions de communication acceptées seront rédigées en anglais ou en français et ne dépasseront pas 500 mots (avec un maximum de 3 références bibliographiques, normes APA et 3 mots clefs). Elles sont à déposer sur le site : rethinkinglang.sciencesconf.com</w:t>
      </w:r>
    </w:p>
    <w:p w14:paraId="1CDB826E" w14:textId="77777777" w:rsidR="00CC52C4" w:rsidRDefault="000B7025" w:rsidP="002B35F9">
      <w:pPr>
        <w:jc w:val="both"/>
      </w:pPr>
      <w:r>
        <w:rPr>
          <w:rFonts w:ascii="Times New Roman" w:eastAsia="Times New Roman" w:hAnsi="Times New Roman" w:cs="Times New Roman"/>
          <w:color w:val="000000"/>
        </w:rPr>
        <w:t>La date limite de dépôt des propositions est fixée au</w:t>
      </w:r>
      <w:r>
        <w:rPr>
          <w:rFonts w:ascii="Times New Roman" w:eastAsia="Times New Roman" w:hAnsi="Times New Roman" w:cs="Times New Roman"/>
          <w:b/>
          <w:bCs/>
          <w:color w:val="000000"/>
        </w:rPr>
        <w:t xml:space="preserve"> 19 octobre 2025.</w:t>
      </w:r>
    </w:p>
    <w:p w14:paraId="2C2767A4" w14:textId="77777777" w:rsidR="00CC52C4" w:rsidRDefault="000B7025" w:rsidP="002B35F9">
      <w:pPr>
        <w:pStyle w:val="ListParagraph"/>
        <w:numPr>
          <w:ilvl w:val="0"/>
          <w:numId w:val="4"/>
        </w:numPr>
        <w:shd w:val="clear" w:color="auto" w:fill="FFFFFF"/>
        <w:spacing w:after="0"/>
        <w:jc w:val="both"/>
      </w:pPr>
      <w:r>
        <w:rPr>
          <w:rFonts w:ascii="Times New Roman" w:eastAsia="Segoe UI" w:hAnsi="Times New Roman" w:cs="Times New Roman"/>
          <w:color w:val="333333"/>
        </w:rPr>
        <w:t xml:space="preserve">Diffusion de l’appel à contributions : </w:t>
      </w:r>
      <w:r>
        <w:rPr>
          <w:rFonts w:ascii="Times New Roman" w:eastAsia="Segoe UI" w:hAnsi="Times New Roman" w:cs="Times New Roman"/>
          <w:b/>
          <w:bCs/>
          <w:color w:val="333333"/>
        </w:rPr>
        <w:t>25 août 2025</w:t>
      </w:r>
    </w:p>
    <w:p w14:paraId="7EBFC276" w14:textId="77777777" w:rsidR="00CC52C4" w:rsidRDefault="000B7025" w:rsidP="002B35F9">
      <w:pPr>
        <w:pStyle w:val="ListParagraph"/>
        <w:numPr>
          <w:ilvl w:val="0"/>
          <w:numId w:val="4"/>
        </w:numPr>
        <w:shd w:val="clear" w:color="auto" w:fill="FFFFFF"/>
        <w:spacing w:after="0"/>
        <w:jc w:val="both"/>
      </w:pPr>
      <w:r>
        <w:rPr>
          <w:rFonts w:ascii="Times New Roman" w:eastAsia="Trebuchet MS" w:hAnsi="Times New Roman" w:cs="Times New Roman"/>
          <w:color w:val="000000"/>
        </w:rPr>
        <w:t>Date limite d’envoi des propositions</w:t>
      </w:r>
      <w:r>
        <w:rPr>
          <w:rFonts w:ascii="Times New Roman" w:eastAsia="Segoe UI" w:hAnsi="Times New Roman" w:cs="Times New Roman"/>
          <w:color w:val="333333"/>
        </w:rPr>
        <w:t xml:space="preserve"> : </w:t>
      </w:r>
      <w:r>
        <w:rPr>
          <w:rFonts w:ascii="Times New Roman" w:eastAsia="Segoe UI" w:hAnsi="Times New Roman" w:cs="Times New Roman"/>
          <w:b/>
          <w:bCs/>
          <w:color w:val="333333"/>
        </w:rPr>
        <w:t>19 octobre 2025</w:t>
      </w:r>
    </w:p>
    <w:p w14:paraId="1D941870" w14:textId="77777777" w:rsidR="00CC52C4" w:rsidRDefault="000B7025" w:rsidP="002B35F9">
      <w:pPr>
        <w:pStyle w:val="ListParagraph"/>
        <w:numPr>
          <w:ilvl w:val="0"/>
          <w:numId w:val="4"/>
        </w:numPr>
        <w:shd w:val="clear" w:color="auto" w:fill="FFFFFF"/>
        <w:spacing w:after="0"/>
        <w:jc w:val="both"/>
      </w:pPr>
      <w:r>
        <w:rPr>
          <w:rFonts w:ascii="Times New Roman" w:eastAsia="Trebuchet MS" w:hAnsi="Times New Roman" w:cs="Times New Roman"/>
          <w:color w:val="000000"/>
        </w:rPr>
        <w:t>Notification d’acceptation des propositions</w:t>
      </w:r>
      <w:r>
        <w:rPr>
          <w:rFonts w:ascii="Times New Roman" w:eastAsia="Segoe UI" w:hAnsi="Times New Roman" w:cs="Times New Roman"/>
          <w:color w:val="333333"/>
        </w:rPr>
        <w:t xml:space="preserve"> : </w:t>
      </w:r>
      <w:r>
        <w:rPr>
          <w:rFonts w:ascii="Times New Roman" w:eastAsia="Segoe UI" w:hAnsi="Times New Roman" w:cs="Times New Roman"/>
          <w:b/>
          <w:bCs/>
          <w:color w:val="333333"/>
        </w:rPr>
        <w:t>14 novembre 2025</w:t>
      </w:r>
    </w:p>
    <w:p w14:paraId="557A45FF" w14:textId="77777777" w:rsidR="00CC52C4" w:rsidRDefault="000B7025" w:rsidP="002B35F9">
      <w:pPr>
        <w:pStyle w:val="ListParagraph"/>
        <w:numPr>
          <w:ilvl w:val="0"/>
          <w:numId w:val="4"/>
        </w:numPr>
        <w:shd w:val="clear" w:color="auto" w:fill="FFFFFF"/>
        <w:spacing w:after="0"/>
        <w:jc w:val="both"/>
      </w:pPr>
      <w:r>
        <w:rPr>
          <w:rFonts w:ascii="Times New Roman" w:eastAsia="Trebuchet MS" w:hAnsi="Times New Roman" w:cs="Times New Roman"/>
          <w:color w:val="000000"/>
        </w:rPr>
        <w:t xml:space="preserve">Ouverture des inscriptions : </w:t>
      </w:r>
      <w:r>
        <w:rPr>
          <w:rFonts w:ascii="Times New Roman" w:eastAsia="Trebuchet MS" w:hAnsi="Times New Roman" w:cs="Times New Roman"/>
          <w:b/>
          <w:bCs/>
          <w:color w:val="000000"/>
        </w:rPr>
        <w:t>du 1</w:t>
      </w:r>
      <w:r>
        <w:rPr>
          <w:rFonts w:ascii="Times New Roman" w:eastAsia="Trebuchet MS" w:hAnsi="Times New Roman" w:cs="Times New Roman"/>
          <w:b/>
          <w:bCs/>
          <w:color w:val="000000"/>
          <w:vertAlign w:val="superscript"/>
        </w:rPr>
        <w:t>er</w:t>
      </w:r>
      <w:r>
        <w:rPr>
          <w:rFonts w:ascii="Times New Roman" w:eastAsia="Trebuchet MS" w:hAnsi="Times New Roman" w:cs="Times New Roman"/>
          <w:b/>
          <w:bCs/>
          <w:color w:val="000000"/>
        </w:rPr>
        <w:t xml:space="preserve"> novembre 2025 au 5 janvier 2026.</w:t>
      </w:r>
    </w:p>
    <w:p w14:paraId="1F729DAB" w14:textId="77777777" w:rsidR="00BA6D91" w:rsidRDefault="00BA6D91">
      <w:pPr>
        <w:spacing w:before="120"/>
        <w:jc w:val="both"/>
        <w:rPr>
          <w:rFonts w:ascii="Times New Roman" w:hAnsi="Times New Roman" w:cs="Times New Roman"/>
          <w:b/>
          <w:bCs/>
          <w:color w:val="000000"/>
        </w:rPr>
      </w:pPr>
    </w:p>
    <w:p w14:paraId="7CAE021F" w14:textId="77777777" w:rsidR="008D5EEC" w:rsidRDefault="008D5EEC">
      <w:pPr>
        <w:spacing w:before="120"/>
        <w:jc w:val="both"/>
        <w:rPr>
          <w:rFonts w:ascii="Times New Roman" w:hAnsi="Times New Roman" w:cs="Times New Roman"/>
          <w:b/>
          <w:bCs/>
          <w:color w:val="000000"/>
        </w:rPr>
      </w:pPr>
    </w:p>
    <w:p w14:paraId="6E16F5D3" w14:textId="242AF7D6" w:rsidR="00CC52C4" w:rsidRDefault="000B7025">
      <w:pPr>
        <w:spacing w:before="120"/>
        <w:jc w:val="both"/>
      </w:pPr>
      <w:r>
        <w:rPr>
          <w:rFonts w:ascii="Times New Roman" w:hAnsi="Times New Roman" w:cs="Times New Roman"/>
          <w:b/>
          <w:bCs/>
          <w:color w:val="000000"/>
        </w:rPr>
        <w:lastRenderedPageBreak/>
        <w:t>Bibliographie</w:t>
      </w:r>
    </w:p>
    <w:p w14:paraId="01E1A0AF" w14:textId="77777777" w:rsidR="00CC52C4" w:rsidRPr="002B35F9" w:rsidRDefault="000B7025" w:rsidP="002B35F9">
      <w:pPr>
        <w:spacing w:after="0"/>
        <w:ind w:left="-2" w:hanging="480"/>
        <w:jc w:val="both"/>
        <w:rPr>
          <w:color w:val="000000" w:themeColor="text1"/>
        </w:rPr>
      </w:pPr>
      <w:proofErr w:type="spellStart"/>
      <w:r w:rsidRPr="002B35F9">
        <w:rPr>
          <w:rFonts w:ascii="Times New Roman" w:eastAsia="Times New Roman" w:hAnsi="Times New Roman" w:cs="Times New Roman"/>
          <w:color w:val="000000" w:themeColor="text1"/>
        </w:rPr>
        <w:t>Altet</w:t>
      </w:r>
      <w:proofErr w:type="spellEnd"/>
      <w:r w:rsidRPr="002B35F9">
        <w:rPr>
          <w:rFonts w:ascii="Times New Roman" w:eastAsia="Times New Roman" w:hAnsi="Times New Roman" w:cs="Times New Roman"/>
          <w:color w:val="000000" w:themeColor="text1"/>
        </w:rPr>
        <w:t>, M., Bru, M., &amp; Blanchard-Laville, C. (2012). Les pratiques enseignantes, leurs processus de fonctionnement</w:t>
      </w:r>
      <w:r w:rsidRPr="002B35F9">
        <w:rPr>
          <w:rFonts w:ascii="Times New Roman" w:eastAsia="Arial" w:hAnsi="Times New Roman" w:cs="Times New Roman"/>
          <w:color w:val="000000" w:themeColor="text1"/>
        </w:rPr>
        <w:t> </w:t>
      </w:r>
      <w:r w:rsidRPr="002B35F9">
        <w:rPr>
          <w:rFonts w:ascii="Times New Roman" w:eastAsia="Times New Roman" w:hAnsi="Times New Roman" w:cs="Times New Roman"/>
          <w:color w:val="000000" w:themeColor="text1"/>
        </w:rPr>
        <w:t xml:space="preserve">: Un objet pour les sciences de l’éducation. In </w:t>
      </w:r>
      <w:r w:rsidRPr="002B35F9">
        <w:rPr>
          <w:rFonts w:ascii="Times New Roman" w:eastAsia="Times New Roman" w:hAnsi="Times New Roman" w:cs="Times New Roman"/>
          <w:i/>
          <w:iCs/>
          <w:color w:val="000000" w:themeColor="text1"/>
        </w:rPr>
        <w:t>Observer les pratiques enseignantes</w:t>
      </w:r>
      <w:r w:rsidRPr="002B35F9">
        <w:rPr>
          <w:rFonts w:ascii="Times New Roman" w:eastAsia="Times New Roman" w:hAnsi="Times New Roman" w:cs="Times New Roman"/>
          <w:color w:val="000000" w:themeColor="text1"/>
        </w:rPr>
        <w:t xml:space="preserve"> (p. 9</w:t>
      </w:r>
      <w:r w:rsidRPr="002B35F9">
        <w:rPr>
          <w:rFonts w:ascii="Times New Roman" w:eastAsia="Times New Roman" w:hAnsi="Times New Roman" w:cs="Times New Roman"/>
          <w:color w:val="000000" w:themeColor="text1"/>
        </w:rPr>
        <w:noBreakHyphen/>
        <w:t xml:space="preserve">26). L’Harmattan. </w:t>
      </w:r>
      <w:hyperlink r:id="rId7" w:history="1">
        <w:r w:rsidR="00CC52C4" w:rsidRPr="002B35F9">
          <w:rPr>
            <w:rStyle w:val="Hyperlink"/>
            <w:rFonts w:ascii="Times New Roman" w:eastAsia="Times New Roman" w:hAnsi="Times New Roman" w:cs="Times New Roman"/>
            <w:color w:val="000000" w:themeColor="text1"/>
          </w:rPr>
          <w:t>https://doi.org/10.3917/har.cifal.2012.01.0009</w:t>
        </w:r>
      </w:hyperlink>
    </w:p>
    <w:p w14:paraId="47DE04F5" w14:textId="77777777" w:rsidR="00CC52C4" w:rsidRPr="002B35F9" w:rsidRDefault="000B7025" w:rsidP="002B35F9">
      <w:pPr>
        <w:spacing w:before="120" w:after="0"/>
        <w:ind w:left="-2" w:hanging="480"/>
        <w:jc w:val="both"/>
        <w:rPr>
          <w:color w:val="000000" w:themeColor="text1"/>
        </w:rPr>
      </w:pPr>
      <w:proofErr w:type="spellStart"/>
      <w:r w:rsidRPr="002B35F9">
        <w:rPr>
          <w:rFonts w:ascii="Times New Roman" w:eastAsia="Segoe UI" w:hAnsi="Times New Roman" w:cs="Times New Roman"/>
          <w:color w:val="000000" w:themeColor="text1"/>
        </w:rPr>
        <w:t>Byram</w:t>
      </w:r>
      <w:proofErr w:type="spellEnd"/>
      <w:r w:rsidRPr="002B35F9">
        <w:rPr>
          <w:rFonts w:ascii="Times New Roman" w:eastAsia="Segoe UI" w:hAnsi="Times New Roman" w:cs="Times New Roman"/>
          <w:color w:val="000000" w:themeColor="text1"/>
        </w:rPr>
        <w:t>, M. (2009). Sociétés multiculturelles et individus pluriculturels : le projet de l’éducation interculturelle, Division des Politiques linguistiques, Conseil de l’Europe, Strasbourg.</w:t>
      </w:r>
    </w:p>
    <w:p w14:paraId="2B710B5E" w14:textId="77777777" w:rsidR="00CC52C4" w:rsidRPr="002B35F9" w:rsidRDefault="000B7025" w:rsidP="002B35F9">
      <w:pPr>
        <w:spacing w:before="120" w:after="0"/>
        <w:ind w:hanging="480"/>
        <w:jc w:val="both"/>
        <w:rPr>
          <w:color w:val="000000" w:themeColor="text1"/>
        </w:rPr>
      </w:pPr>
      <w:r w:rsidRPr="002B35F9">
        <w:rPr>
          <w:rFonts w:ascii="Times New Roman" w:eastAsia="Times New Roman" w:hAnsi="Times New Roman" w:cs="Times New Roman"/>
          <w:color w:val="000000" w:themeColor="text1"/>
          <w:kern w:val="0"/>
          <w:lang w:eastAsia="fr-FR"/>
        </w:rPr>
        <w:t xml:space="preserve">Cambra, M. (2018). Chapitre 12. Former les enseignants à l’éducation plurilingue et interculturelle. In </w:t>
      </w:r>
      <w:r w:rsidRPr="002B35F9">
        <w:rPr>
          <w:rFonts w:ascii="Times New Roman" w:eastAsia="Times New Roman" w:hAnsi="Times New Roman" w:cs="Times New Roman"/>
          <w:i/>
          <w:iCs/>
          <w:color w:val="000000" w:themeColor="text1"/>
          <w:kern w:val="0"/>
          <w:lang w:eastAsia="fr-FR"/>
        </w:rPr>
        <w:t>L’éducation plurilingue et interculturelle</w:t>
      </w:r>
      <w:r w:rsidRPr="002B35F9">
        <w:rPr>
          <w:rFonts w:ascii="Times New Roman" w:eastAsia="Times New Roman" w:hAnsi="Times New Roman" w:cs="Times New Roman"/>
          <w:color w:val="000000" w:themeColor="text1"/>
          <w:kern w:val="0"/>
          <w:lang w:eastAsia="fr-FR"/>
        </w:rPr>
        <w:t xml:space="preserve"> (p. 240</w:t>
      </w:r>
      <w:r w:rsidRPr="002B35F9">
        <w:rPr>
          <w:rFonts w:ascii="Times New Roman" w:eastAsia="Times New Roman" w:hAnsi="Times New Roman" w:cs="Times New Roman"/>
          <w:color w:val="000000" w:themeColor="text1"/>
          <w:kern w:val="0"/>
          <w:lang w:eastAsia="fr-FR"/>
        </w:rPr>
        <w:noBreakHyphen/>
        <w:t xml:space="preserve">257). Didier. </w:t>
      </w:r>
      <w:hyperlink r:id="rId8" w:history="1">
        <w:r w:rsidR="00CC52C4" w:rsidRPr="002B35F9">
          <w:rPr>
            <w:rFonts w:ascii="Times New Roman" w:eastAsia="Times New Roman" w:hAnsi="Times New Roman" w:cs="Times New Roman"/>
            <w:color w:val="000000" w:themeColor="text1"/>
            <w:kern w:val="0"/>
            <w:u w:val="single"/>
            <w:lang w:eastAsia="fr-FR"/>
          </w:rPr>
          <w:t>https://shs.cairn.info/l-education-plurilingue-et-interculturelle-la-perspective-du-conseil-de-l-europe-ebook--9782278086689-page-240</w:t>
        </w:r>
      </w:hyperlink>
    </w:p>
    <w:p w14:paraId="2ACDCFE5" w14:textId="77777777" w:rsidR="00CC52C4" w:rsidRPr="002B35F9" w:rsidRDefault="000B7025" w:rsidP="002B35F9">
      <w:pPr>
        <w:spacing w:before="120"/>
        <w:ind w:hanging="480"/>
        <w:jc w:val="both"/>
        <w:rPr>
          <w:color w:val="000000" w:themeColor="text1"/>
        </w:rPr>
      </w:pPr>
      <w:proofErr w:type="spellStart"/>
      <w:r w:rsidRPr="002B35F9">
        <w:rPr>
          <w:rFonts w:ascii="Times New Roman" w:eastAsia="Times New Roman" w:hAnsi="Times New Roman" w:cs="Times New Roman"/>
          <w:color w:val="000000" w:themeColor="text1"/>
          <w:kern w:val="0"/>
          <w:lang w:eastAsia="fr-FR"/>
        </w:rPr>
        <w:t>Chnane-Davin</w:t>
      </w:r>
      <w:proofErr w:type="spellEnd"/>
      <w:r w:rsidRPr="002B35F9">
        <w:rPr>
          <w:rFonts w:ascii="Times New Roman" w:eastAsia="Times New Roman" w:hAnsi="Times New Roman" w:cs="Times New Roman"/>
          <w:color w:val="000000" w:themeColor="text1"/>
          <w:kern w:val="0"/>
          <w:lang w:eastAsia="fr-FR"/>
        </w:rPr>
        <w:t>, F., &amp; Cuq, J.-P. (</w:t>
      </w:r>
      <w:proofErr w:type="spellStart"/>
      <w:r w:rsidRPr="002B35F9">
        <w:rPr>
          <w:rFonts w:ascii="Times New Roman" w:eastAsia="Times New Roman" w:hAnsi="Times New Roman" w:cs="Times New Roman"/>
          <w:color w:val="000000" w:themeColor="text1"/>
          <w:kern w:val="0"/>
          <w:lang w:eastAsia="fr-FR"/>
        </w:rPr>
        <w:t>Éds</w:t>
      </w:r>
      <w:proofErr w:type="spellEnd"/>
      <w:r w:rsidRPr="002B35F9">
        <w:rPr>
          <w:rFonts w:ascii="Times New Roman" w:eastAsia="Times New Roman" w:hAnsi="Times New Roman" w:cs="Times New Roman"/>
          <w:color w:val="000000" w:themeColor="text1"/>
          <w:kern w:val="0"/>
          <w:lang w:eastAsia="fr-FR"/>
        </w:rPr>
        <w:t xml:space="preserve">.). (2008). </w:t>
      </w:r>
      <w:r w:rsidRPr="002B35F9">
        <w:rPr>
          <w:rFonts w:ascii="Times New Roman" w:eastAsia="Times New Roman" w:hAnsi="Times New Roman" w:cs="Times New Roman"/>
          <w:i/>
          <w:iCs/>
          <w:color w:val="000000" w:themeColor="text1"/>
          <w:kern w:val="0"/>
          <w:lang w:eastAsia="fr-FR"/>
        </w:rPr>
        <w:t>Du discours de l’enseignant aux pratiques de l’apprenant</w:t>
      </w:r>
      <w:r w:rsidRPr="002B35F9">
        <w:rPr>
          <w:rFonts w:ascii="Times New Roman" w:eastAsia="Times New Roman" w:hAnsi="Times New Roman" w:cs="Times New Roman"/>
          <w:color w:val="000000" w:themeColor="text1"/>
          <w:kern w:val="0"/>
          <w:lang w:eastAsia="fr-FR"/>
        </w:rPr>
        <w:t>. Le Français dans le Monde.</w:t>
      </w:r>
    </w:p>
    <w:p w14:paraId="34AD4741" w14:textId="77777777" w:rsidR="00CC52C4" w:rsidRPr="002B35F9" w:rsidRDefault="000B7025" w:rsidP="002B35F9">
      <w:pPr>
        <w:spacing w:before="120" w:after="0"/>
        <w:ind w:left="-2" w:hanging="480"/>
        <w:jc w:val="both"/>
        <w:rPr>
          <w:color w:val="000000" w:themeColor="text1"/>
        </w:rPr>
      </w:pPr>
      <w:proofErr w:type="spellStart"/>
      <w:r w:rsidRPr="002B35F9">
        <w:rPr>
          <w:rFonts w:ascii="Times New Roman" w:eastAsia="Times New Roman" w:hAnsi="Times New Roman" w:cs="Times New Roman"/>
          <w:color w:val="000000" w:themeColor="text1"/>
        </w:rPr>
        <w:t>Cicurel</w:t>
      </w:r>
      <w:proofErr w:type="spellEnd"/>
      <w:r w:rsidRPr="002B35F9">
        <w:rPr>
          <w:rFonts w:ascii="Times New Roman" w:eastAsia="Times New Roman" w:hAnsi="Times New Roman" w:cs="Times New Roman"/>
          <w:color w:val="000000" w:themeColor="text1"/>
        </w:rPr>
        <w:t xml:space="preserve">, F. (2011). Chapitre 5. Styles d’agir professoral : Pratiques, répertoires et postures. </w:t>
      </w:r>
      <w:r w:rsidRPr="002B35F9">
        <w:rPr>
          <w:rFonts w:ascii="Times New Roman" w:eastAsia="Times New Roman" w:hAnsi="Times New Roman" w:cs="Times New Roman"/>
          <w:i/>
          <w:iCs/>
          <w:color w:val="000000" w:themeColor="text1"/>
        </w:rPr>
        <w:t>Langues et didactique</w:t>
      </w:r>
      <w:r w:rsidRPr="002B35F9">
        <w:rPr>
          <w:rFonts w:ascii="Times New Roman" w:eastAsia="Times New Roman" w:hAnsi="Times New Roman" w:cs="Times New Roman"/>
          <w:color w:val="000000" w:themeColor="text1"/>
        </w:rPr>
        <w:t>, 155</w:t>
      </w:r>
      <w:r w:rsidRPr="002B35F9">
        <w:rPr>
          <w:rFonts w:ascii="Times New Roman" w:eastAsia="Times New Roman" w:hAnsi="Times New Roman" w:cs="Times New Roman"/>
          <w:color w:val="000000" w:themeColor="text1"/>
        </w:rPr>
        <w:noBreakHyphen/>
        <w:t>191.</w:t>
      </w:r>
    </w:p>
    <w:p w14:paraId="769351E4" w14:textId="77777777" w:rsidR="00CC52C4" w:rsidRPr="002B35F9" w:rsidRDefault="000B7025" w:rsidP="002B35F9">
      <w:pPr>
        <w:spacing w:before="120" w:after="0"/>
        <w:ind w:hanging="480"/>
        <w:jc w:val="both"/>
        <w:rPr>
          <w:color w:val="000000" w:themeColor="text1"/>
          <w:lang w:val="en-AU"/>
        </w:rPr>
      </w:pPr>
      <w:r w:rsidRPr="002B35F9">
        <w:rPr>
          <w:rFonts w:ascii="Times New Roman" w:hAnsi="Times New Roman" w:cs="Times New Roman"/>
          <w:color w:val="000000" w:themeColor="text1"/>
        </w:rPr>
        <w:t xml:space="preserve">Conseil de l’Europe, </w:t>
      </w:r>
      <w:r w:rsidRPr="002B35F9">
        <w:rPr>
          <w:rStyle w:val="Emphasis"/>
          <w:rFonts w:ascii="Times New Roman" w:hAnsi="Times New Roman" w:cs="Times New Roman"/>
          <w:color w:val="000000" w:themeColor="text1"/>
        </w:rPr>
        <w:t>Cadre européen commun de référence pour les langues : apprendre, enseigner, évaluer – Volume complémentaire</w:t>
      </w:r>
      <w:r w:rsidRPr="002B35F9">
        <w:rPr>
          <w:rFonts w:ascii="Times New Roman" w:hAnsi="Times New Roman" w:cs="Times New Roman"/>
          <w:color w:val="000000" w:themeColor="text1"/>
        </w:rPr>
        <w:t xml:space="preserve">, Éditions du Conseil de l’Europe, Strasbourg, 2021. </w:t>
      </w:r>
      <w:hyperlink r:id="rId9" w:history="1">
        <w:r w:rsidR="00CC52C4" w:rsidRPr="002B35F9">
          <w:rPr>
            <w:rStyle w:val="Hyperlink"/>
            <w:rFonts w:ascii="Times New Roman" w:hAnsi="Times New Roman" w:cs="Times New Roman"/>
            <w:color w:val="000000" w:themeColor="text1"/>
            <w:lang w:val="en-US"/>
          </w:rPr>
          <w:t>https://rm.coe.int/volume-complementaire-au-cecr/16809ea0d4</w:t>
        </w:r>
      </w:hyperlink>
    </w:p>
    <w:p w14:paraId="0CB98A66" w14:textId="40931982" w:rsidR="00CC52C4" w:rsidRPr="002B35F9" w:rsidRDefault="000B7025" w:rsidP="002B35F9">
      <w:pPr>
        <w:spacing w:before="120" w:after="0"/>
        <w:ind w:hanging="480"/>
        <w:jc w:val="both"/>
        <w:rPr>
          <w:color w:val="000000" w:themeColor="text1"/>
        </w:rPr>
      </w:pPr>
      <w:r w:rsidRPr="002B35F9">
        <w:rPr>
          <w:rFonts w:ascii="Times New Roman" w:eastAsia="Times New Roman" w:hAnsi="Times New Roman" w:cs="Times New Roman"/>
          <w:color w:val="000000" w:themeColor="text1"/>
          <w:kern w:val="0"/>
          <w:lang w:val="en-US" w:eastAsia="fr-FR"/>
        </w:rPr>
        <w:t xml:space="preserve">Coste, D. ; Moore, D. &amp; G. Zarate. </w:t>
      </w:r>
      <w:r w:rsidRPr="002B35F9">
        <w:rPr>
          <w:rFonts w:ascii="Times New Roman" w:eastAsia="Times New Roman" w:hAnsi="Times New Roman" w:cs="Times New Roman"/>
          <w:color w:val="000000" w:themeColor="text1"/>
          <w:kern w:val="0"/>
          <w:lang w:eastAsia="fr-FR"/>
        </w:rPr>
        <w:t xml:space="preserve">(1997/1999) (3e édition). </w:t>
      </w:r>
      <w:r w:rsidRPr="002B35F9">
        <w:rPr>
          <w:rFonts w:ascii="Times New Roman" w:eastAsia="Times New Roman" w:hAnsi="Times New Roman" w:cs="Times New Roman"/>
          <w:i/>
          <w:iCs/>
          <w:color w:val="000000" w:themeColor="text1"/>
          <w:kern w:val="0"/>
          <w:lang w:eastAsia="fr-FR"/>
        </w:rPr>
        <w:t>Compétence plurilingue et pluriculturelle</w:t>
      </w:r>
      <w:r w:rsidRPr="002B35F9">
        <w:rPr>
          <w:rFonts w:ascii="Times New Roman" w:eastAsia="Times New Roman" w:hAnsi="Times New Roman" w:cs="Times New Roman"/>
          <w:color w:val="000000" w:themeColor="text1"/>
          <w:kern w:val="0"/>
          <w:lang w:eastAsia="fr-FR"/>
        </w:rPr>
        <w:t xml:space="preserve">. Vers un Cadre Européen Commun de référence pour l’enseignement et l’apprentissage des langues vivantes : études préparatoires. Comité de l’Éducation, Conseil de la Coopération culturelle, Éditions du Conseil de l’Europe, Strasbourg. </w:t>
      </w:r>
      <w:hyperlink r:id="rId10" w:history="1">
        <w:r w:rsidR="00CC52C4" w:rsidRPr="002B35F9">
          <w:rPr>
            <w:rStyle w:val="Hyperlink"/>
            <w:rFonts w:ascii="Times New Roman" w:eastAsia="Times New Roman" w:hAnsi="Times New Roman" w:cs="Times New Roman"/>
            <w:color w:val="000000" w:themeColor="text1"/>
            <w:kern w:val="0"/>
            <w:lang w:eastAsia="fr-FR"/>
          </w:rPr>
          <w:t>https://rm.coe.int/168069d29c</w:t>
        </w:r>
      </w:hyperlink>
      <w:r w:rsidRPr="002B35F9">
        <w:rPr>
          <w:rFonts w:ascii="Times New Roman" w:eastAsia="Times New Roman" w:hAnsi="Times New Roman" w:cs="Times New Roman"/>
          <w:color w:val="000000" w:themeColor="text1"/>
          <w:kern w:val="0"/>
          <w:lang w:eastAsia="fr-FR"/>
        </w:rPr>
        <w:t xml:space="preserve"> </w:t>
      </w:r>
    </w:p>
    <w:p w14:paraId="44FF1431" w14:textId="77777777" w:rsidR="00CC52C4" w:rsidRPr="002B35F9" w:rsidRDefault="000B7025" w:rsidP="002B35F9">
      <w:pPr>
        <w:spacing w:before="120" w:after="0"/>
        <w:ind w:hanging="480"/>
        <w:jc w:val="both"/>
        <w:rPr>
          <w:color w:val="000000" w:themeColor="text1"/>
        </w:rPr>
      </w:pPr>
      <w:r w:rsidRPr="002B35F9">
        <w:rPr>
          <w:rFonts w:ascii="Times New Roman" w:eastAsia="Times New Roman" w:hAnsi="Times New Roman" w:cs="Times New Roman"/>
          <w:color w:val="000000" w:themeColor="text1"/>
          <w:kern w:val="0"/>
          <w:lang w:eastAsia="fr-FR"/>
        </w:rPr>
        <w:t xml:space="preserve">Cuq, J.-P., &amp; </w:t>
      </w:r>
      <w:proofErr w:type="spellStart"/>
      <w:r w:rsidRPr="002B35F9">
        <w:rPr>
          <w:rFonts w:ascii="Times New Roman" w:eastAsia="Times New Roman" w:hAnsi="Times New Roman" w:cs="Times New Roman"/>
          <w:color w:val="000000" w:themeColor="text1"/>
          <w:kern w:val="0"/>
          <w:lang w:eastAsia="fr-FR"/>
        </w:rPr>
        <w:t>Gruca</w:t>
      </w:r>
      <w:proofErr w:type="spellEnd"/>
      <w:r w:rsidRPr="002B35F9">
        <w:rPr>
          <w:rFonts w:ascii="Times New Roman" w:eastAsia="Times New Roman" w:hAnsi="Times New Roman" w:cs="Times New Roman"/>
          <w:color w:val="000000" w:themeColor="text1"/>
          <w:kern w:val="0"/>
          <w:lang w:eastAsia="fr-FR"/>
        </w:rPr>
        <w:t xml:space="preserve">, I. (2017). </w:t>
      </w:r>
      <w:r w:rsidRPr="002B35F9">
        <w:rPr>
          <w:rFonts w:ascii="Times New Roman" w:eastAsia="Times New Roman" w:hAnsi="Times New Roman" w:cs="Times New Roman"/>
          <w:i/>
          <w:iCs/>
          <w:color w:val="000000" w:themeColor="text1"/>
          <w:kern w:val="0"/>
          <w:lang w:eastAsia="fr-FR"/>
        </w:rPr>
        <w:t>Cours de didactique du français langue étrangère et seconde</w:t>
      </w:r>
      <w:r w:rsidRPr="002B35F9">
        <w:rPr>
          <w:rFonts w:ascii="Times New Roman" w:eastAsia="Times New Roman" w:hAnsi="Times New Roman" w:cs="Times New Roman"/>
          <w:color w:val="000000" w:themeColor="text1"/>
          <w:kern w:val="0"/>
          <w:lang w:eastAsia="fr-FR"/>
        </w:rPr>
        <w:t xml:space="preserve"> (4e éd). Presses universitaires de Grenoble. </w:t>
      </w:r>
    </w:p>
    <w:p w14:paraId="08B66AEE" w14:textId="77777777" w:rsidR="00CC52C4" w:rsidRPr="002B35F9" w:rsidRDefault="000B7025" w:rsidP="002B35F9">
      <w:pPr>
        <w:spacing w:before="120" w:after="0"/>
        <w:ind w:hanging="480"/>
        <w:jc w:val="both"/>
        <w:rPr>
          <w:color w:val="000000" w:themeColor="text1"/>
        </w:rPr>
      </w:pPr>
      <w:proofErr w:type="spellStart"/>
      <w:r w:rsidRPr="002B35F9">
        <w:rPr>
          <w:rFonts w:ascii="Times New Roman" w:eastAsia="Times New Roman" w:hAnsi="Times New Roman" w:cs="Times New Roman"/>
          <w:color w:val="000000" w:themeColor="text1"/>
        </w:rPr>
        <w:t>Hickel</w:t>
      </w:r>
      <w:proofErr w:type="spellEnd"/>
      <w:r w:rsidRPr="002B35F9">
        <w:rPr>
          <w:rFonts w:ascii="Times New Roman" w:eastAsia="Times New Roman" w:hAnsi="Times New Roman" w:cs="Times New Roman"/>
          <w:color w:val="000000" w:themeColor="text1"/>
        </w:rPr>
        <w:t xml:space="preserve">, F. (2008). Danièle Moore , Plurilinguismes et école. </w:t>
      </w:r>
      <w:r w:rsidRPr="002B35F9">
        <w:rPr>
          <w:rFonts w:ascii="Times New Roman" w:eastAsia="Times New Roman" w:hAnsi="Times New Roman" w:cs="Times New Roman"/>
          <w:i/>
          <w:iCs/>
          <w:color w:val="000000" w:themeColor="text1"/>
        </w:rPr>
        <w:t>Sociétés et jeunesses en difficulté. Revue pluridisciplinaire de recherche</w:t>
      </w:r>
      <w:r w:rsidRPr="002B35F9">
        <w:rPr>
          <w:rFonts w:ascii="Times New Roman" w:eastAsia="Times New Roman" w:hAnsi="Times New Roman" w:cs="Times New Roman"/>
          <w:color w:val="000000" w:themeColor="text1"/>
        </w:rPr>
        <w:t xml:space="preserve">, </w:t>
      </w:r>
      <w:r w:rsidRPr="002B35F9">
        <w:rPr>
          <w:rFonts w:ascii="Times New Roman" w:eastAsia="Times New Roman" w:hAnsi="Times New Roman" w:cs="Times New Roman"/>
          <w:i/>
          <w:iCs/>
          <w:color w:val="000000" w:themeColor="text1"/>
        </w:rPr>
        <w:t>n°4</w:t>
      </w:r>
      <w:r w:rsidRPr="002B35F9">
        <w:rPr>
          <w:rFonts w:ascii="Times New Roman" w:eastAsia="Times New Roman" w:hAnsi="Times New Roman" w:cs="Times New Roman"/>
          <w:color w:val="000000" w:themeColor="text1"/>
        </w:rPr>
        <w:t xml:space="preserve">, Article n°4. </w:t>
      </w:r>
      <w:hyperlink r:id="rId11" w:history="1">
        <w:r w:rsidR="00CC52C4" w:rsidRPr="002B35F9">
          <w:rPr>
            <w:rStyle w:val="Hyperlink"/>
            <w:rFonts w:ascii="Times New Roman" w:eastAsia="Times New Roman" w:hAnsi="Times New Roman" w:cs="Times New Roman"/>
            <w:color w:val="000000" w:themeColor="text1"/>
          </w:rPr>
          <w:t>https://journals.openedition.org/sejed/1093</w:t>
        </w:r>
      </w:hyperlink>
    </w:p>
    <w:p w14:paraId="5930D8BE" w14:textId="77777777" w:rsidR="00CC52C4" w:rsidRPr="002B35F9" w:rsidRDefault="000B7025" w:rsidP="002B35F9">
      <w:pPr>
        <w:spacing w:before="120" w:after="0"/>
        <w:ind w:hanging="480"/>
        <w:jc w:val="both"/>
        <w:rPr>
          <w:color w:val="000000" w:themeColor="text1"/>
        </w:rPr>
      </w:pPr>
      <w:r w:rsidRPr="002B35F9">
        <w:rPr>
          <w:rFonts w:ascii="Times New Roman" w:eastAsia="Times New Roman" w:hAnsi="Times New Roman" w:cs="Times New Roman"/>
          <w:color w:val="000000" w:themeColor="text1"/>
          <w:kern w:val="0"/>
          <w:lang w:eastAsia="fr-FR"/>
        </w:rPr>
        <w:t xml:space="preserve">Martinez, P. (2011). Construire et mettre en œuvre un curriculum. In </w:t>
      </w:r>
      <w:r w:rsidRPr="002B35F9">
        <w:rPr>
          <w:rFonts w:ascii="Times New Roman" w:eastAsia="Times New Roman" w:hAnsi="Times New Roman" w:cs="Times New Roman"/>
          <w:i/>
          <w:iCs/>
          <w:color w:val="000000" w:themeColor="text1"/>
          <w:kern w:val="0"/>
          <w:lang w:eastAsia="fr-FR"/>
        </w:rPr>
        <w:t>Guide pour la recherche en didactique des langues et des cultures : Approches contextualisées</w:t>
      </w:r>
      <w:r w:rsidRPr="002B35F9">
        <w:rPr>
          <w:rFonts w:ascii="Times New Roman" w:eastAsia="Times New Roman" w:hAnsi="Times New Roman" w:cs="Times New Roman"/>
          <w:color w:val="000000" w:themeColor="text1"/>
          <w:kern w:val="0"/>
          <w:lang w:eastAsia="fr-FR"/>
        </w:rPr>
        <w:t xml:space="preserve"> sous la direction de Philippe Blanchet, Patrick Chardenet. Philippe Blanchet et Patrick Chardenet. Éditions des archives contemporaines ; Agence universitaire de la francophonie (Montréal), pp.509, 2011, 978-2-813000-48-4. </w:t>
      </w:r>
      <w:r w:rsidRPr="002B35F9">
        <w:rPr>
          <w:rFonts w:ascii="Cambria Math" w:eastAsia="Times New Roman" w:hAnsi="Cambria Math" w:cs="Cambria Math"/>
          <w:color w:val="000000" w:themeColor="text1"/>
          <w:kern w:val="0"/>
          <w:lang w:eastAsia="fr-FR"/>
        </w:rPr>
        <w:t>⟨</w:t>
      </w:r>
      <w:r w:rsidRPr="002B35F9">
        <w:rPr>
          <w:rFonts w:ascii="Times New Roman" w:eastAsia="Times New Roman" w:hAnsi="Times New Roman" w:cs="Times New Roman"/>
          <w:color w:val="000000" w:themeColor="text1"/>
          <w:kern w:val="0"/>
          <w:lang w:eastAsia="fr-FR"/>
        </w:rPr>
        <w:t>hal-01436588</w:t>
      </w:r>
      <w:r w:rsidRPr="002B35F9">
        <w:rPr>
          <w:rFonts w:ascii="Cambria Math" w:eastAsia="Times New Roman" w:hAnsi="Cambria Math" w:cs="Cambria Math"/>
          <w:color w:val="000000" w:themeColor="text1"/>
          <w:kern w:val="0"/>
          <w:lang w:eastAsia="fr-FR"/>
        </w:rPr>
        <w:t>⟩</w:t>
      </w:r>
    </w:p>
    <w:p w14:paraId="41F7D846" w14:textId="77777777" w:rsidR="00CC52C4" w:rsidRPr="002B35F9" w:rsidRDefault="000B7025" w:rsidP="002B35F9">
      <w:pPr>
        <w:spacing w:before="120" w:after="0"/>
        <w:ind w:hanging="480"/>
        <w:jc w:val="both"/>
        <w:rPr>
          <w:color w:val="000000" w:themeColor="text1"/>
        </w:rPr>
      </w:pPr>
      <w:r w:rsidRPr="002B35F9">
        <w:rPr>
          <w:rFonts w:ascii="Times New Roman" w:eastAsia="Segoe UI" w:hAnsi="Times New Roman" w:cs="Times New Roman"/>
          <w:color w:val="000000" w:themeColor="text1"/>
        </w:rPr>
        <w:t xml:space="preserve">Muller, C., &amp; </w:t>
      </w:r>
      <w:proofErr w:type="spellStart"/>
      <w:r w:rsidRPr="002B35F9">
        <w:rPr>
          <w:rFonts w:ascii="Times New Roman" w:eastAsia="Segoe UI" w:hAnsi="Times New Roman" w:cs="Times New Roman"/>
          <w:color w:val="000000" w:themeColor="text1"/>
        </w:rPr>
        <w:t>Borgé</w:t>
      </w:r>
      <w:proofErr w:type="spellEnd"/>
      <w:r w:rsidRPr="002B35F9">
        <w:rPr>
          <w:rFonts w:ascii="Times New Roman" w:eastAsia="Segoe UI" w:hAnsi="Times New Roman" w:cs="Times New Roman"/>
          <w:color w:val="000000" w:themeColor="text1"/>
        </w:rPr>
        <w:t xml:space="preserve">, N. (2020). </w:t>
      </w:r>
      <w:r w:rsidRPr="002B35F9">
        <w:rPr>
          <w:rFonts w:ascii="Times New Roman" w:eastAsia="Segoe UI" w:hAnsi="Times New Roman" w:cs="Times New Roman"/>
          <w:i/>
          <w:iCs/>
          <w:color w:val="000000" w:themeColor="text1"/>
        </w:rPr>
        <w:t>Aborder l'œuvre d'art dans l'enseignement des langues-Ebook</w:t>
      </w:r>
      <w:r w:rsidRPr="002B35F9">
        <w:rPr>
          <w:rFonts w:ascii="Times New Roman" w:eastAsia="Segoe UI" w:hAnsi="Times New Roman" w:cs="Times New Roman"/>
          <w:color w:val="000000" w:themeColor="text1"/>
        </w:rPr>
        <w:t>. Didier.</w:t>
      </w:r>
    </w:p>
    <w:p w14:paraId="5C30DACE" w14:textId="77777777" w:rsidR="00CC52C4" w:rsidRPr="002B35F9" w:rsidRDefault="000B7025" w:rsidP="002B35F9">
      <w:pPr>
        <w:spacing w:before="120" w:after="0"/>
        <w:ind w:hanging="480"/>
        <w:jc w:val="both"/>
        <w:rPr>
          <w:color w:val="000000" w:themeColor="text1"/>
        </w:rPr>
      </w:pPr>
      <w:proofErr w:type="spellStart"/>
      <w:r w:rsidRPr="002B35F9">
        <w:rPr>
          <w:rFonts w:ascii="Times New Roman" w:eastAsia="Times New Roman" w:hAnsi="Times New Roman" w:cs="Times New Roman"/>
          <w:color w:val="000000" w:themeColor="text1"/>
        </w:rPr>
        <w:t>Wokusch</w:t>
      </w:r>
      <w:proofErr w:type="spellEnd"/>
      <w:r w:rsidRPr="002B35F9">
        <w:rPr>
          <w:rFonts w:ascii="Times New Roman" w:eastAsia="Times New Roman" w:hAnsi="Times New Roman" w:cs="Times New Roman"/>
          <w:color w:val="000000" w:themeColor="text1"/>
        </w:rPr>
        <w:t xml:space="preserve">, S. (2022). </w:t>
      </w:r>
      <w:r w:rsidRPr="002B35F9">
        <w:rPr>
          <w:rFonts w:ascii="Times New Roman" w:eastAsia="Times New Roman" w:hAnsi="Times New Roman" w:cs="Times New Roman"/>
          <w:i/>
          <w:iCs/>
          <w:color w:val="000000" w:themeColor="text1"/>
        </w:rPr>
        <w:t>Fondements de la didactique des langues-cultures. Cours d’introduction à la didactique des langues-cultures</w:t>
      </w:r>
      <w:r w:rsidRPr="002B35F9">
        <w:rPr>
          <w:rFonts w:ascii="Times New Roman" w:eastAsia="Times New Roman" w:hAnsi="Times New Roman" w:cs="Times New Roman"/>
          <w:color w:val="000000" w:themeColor="text1"/>
        </w:rPr>
        <w:t xml:space="preserve">. Center for Open Science. </w:t>
      </w:r>
      <w:hyperlink r:id="rId12" w:history="1">
        <w:r w:rsidR="00CC52C4" w:rsidRPr="002B35F9">
          <w:rPr>
            <w:rStyle w:val="Hyperlink"/>
            <w:rFonts w:ascii="Times New Roman" w:eastAsia="Times New Roman" w:hAnsi="Times New Roman" w:cs="Times New Roman"/>
            <w:color w:val="000000" w:themeColor="text1"/>
          </w:rPr>
          <w:t>https://doi.org/10.35542/osf.io/av62p</w:t>
        </w:r>
      </w:hyperlink>
    </w:p>
    <w:p w14:paraId="594707D2" w14:textId="77777777" w:rsidR="00CC52C4" w:rsidRDefault="00CC52C4">
      <w:pPr>
        <w:spacing w:before="120" w:after="0"/>
        <w:ind w:hanging="480"/>
        <w:rPr>
          <w:rFonts w:ascii="Times New Roman" w:eastAsia="Segoe UI" w:hAnsi="Times New Roman" w:cs="Times New Roman"/>
          <w:color w:val="333333"/>
        </w:rPr>
      </w:pPr>
    </w:p>
    <w:sectPr w:rsidR="00CC52C4" w:rsidSect="00BA6D91">
      <w:footerReference w:type="default" r:id="rId13"/>
      <w:pgSz w:w="11906" w:h="16838"/>
      <w:pgMar w:top="1440" w:right="1080" w:bottom="1440" w:left="1080" w:header="708" w:footer="70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6F23C" w14:textId="77777777" w:rsidR="005B27E1" w:rsidRDefault="005B27E1">
      <w:pPr>
        <w:spacing w:after="0" w:line="240" w:lineRule="auto"/>
      </w:pPr>
      <w:r>
        <w:separator/>
      </w:r>
    </w:p>
  </w:endnote>
  <w:endnote w:type="continuationSeparator" w:id="0">
    <w:p w14:paraId="629B8256" w14:textId="77777777" w:rsidR="005B27E1" w:rsidRDefault="005B2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0D3096" w14:textId="77777777" w:rsidR="00572A0A" w:rsidRDefault="000B7025">
    <w:pPr>
      <w:pStyle w:val="Footer"/>
      <w:ind w:right="360"/>
    </w:pPr>
    <w:r>
      <w:rPr>
        <w:noProof/>
      </w:rPr>
      <mc:AlternateContent>
        <mc:Choice Requires="wps">
          <w:drawing>
            <wp:anchor distT="0" distB="0" distL="114300" distR="114300" simplePos="0" relativeHeight="251658240" behindDoc="0" locked="0" layoutInCell="1" allowOverlap="1" wp14:anchorId="4AFEBA7B" wp14:editId="2944D0B5">
              <wp:simplePos x="0" y="0"/>
              <wp:positionH relativeFrom="margin">
                <wp:align>right</wp:align>
              </wp:positionH>
              <wp:positionV relativeFrom="paragraph">
                <wp:posOffset>548</wp:posOffset>
              </wp:positionV>
              <wp:extent cx="0" cy="0"/>
              <wp:effectExtent l="0" t="0" r="0" b="0"/>
              <wp:wrapTopAndBottom/>
              <wp:docPr id="1501499763" name="Zone de texte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14:paraId="5007894B" w14:textId="77777777" w:rsidR="00572A0A" w:rsidRDefault="000B702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wps:txbx>
                    <wps:bodyPr wrap="none" lIns="0" tIns="0" rIns="0" bIns="0">
                      <a:spAutoFit/>
                    </wps:bodyPr>
                  </wps:wsp>
                </a:graphicData>
              </a:graphic>
            </wp:anchor>
          </w:drawing>
        </mc:Choice>
        <mc:Fallback>
          <w:pict>
            <v:shapetype w14:anchorId="4AFEBA7B" id="_x0000_t202" coordsize="21600,21600" o:spt="202" path="m,l,21600r21600,l21600,xe">
              <v:stroke joinstyle="miter"/>
              <v:path gradientshapeok="t" o:connecttype="rect"/>
            </v:shapetype>
            <v:shape id="Zone de texte 1" o:spid="_x0000_s1026" type="#_x0000_t202" style="position:absolute;margin-left:-51.2pt;margin-top:.05pt;width:0;height:0;z-index:251658240;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" filled="f" stroked="f">
              <v:textbox style="mso-fit-shape-to-text:t" inset="0,0,0,0">
                <w:txbxContent>
                  <w:p w14:paraId="5007894B" w14:textId="77777777" w:rsidR="00572A0A" w:rsidRDefault="000B7025">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txbxContent>
              </v:textbox>
              <w10:wrap type="topAndBottom"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5B9A3E" w14:textId="77777777" w:rsidR="005B27E1" w:rsidRDefault="005B27E1">
      <w:pPr>
        <w:spacing w:after="0" w:line="240" w:lineRule="auto"/>
      </w:pPr>
      <w:r>
        <w:rPr>
          <w:color w:val="000000"/>
        </w:rPr>
        <w:separator/>
      </w:r>
    </w:p>
  </w:footnote>
  <w:footnote w:type="continuationSeparator" w:id="0">
    <w:p w14:paraId="7E4454AA" w14:textId="77777777" w:rsidR="005B27E1" w:rsidRDefault="005B27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60556"/>
    <w:multiLevelType w:val="multilevel"/>
    <w:tmpl w:val="A846EF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D007778"/>
    <w:multiLevelType w:val="multilevel"/>
    <w:tmpl w:val="F1920DC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 w15:restartNumberingAfterBreak="0">
    <w:nsid w:val="25480700"/>
    <w:multiLevelType w:val="multilevel"/>
    <w:tmpl w:val="6F3CC3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DC61B0A"/>
    <w:multiLevelType w:val="multilevel"/>
    <w:tmpl w:val="27B0FBF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110465479">
    <w:abstractNumId w:val="2"/>
  </w:num>
  <w:num w:numId="2" w16cid:durableId="1735930302">
    <w:abstractNumId w:val="1"/>
  </w:num>
  <w:num w:numId="3" w16cid:durableId="1495148921">
    <w:abstractNumId w:val="3"/>
  </w:num>
  <w:num w:numId="4" w16cid:durableId="138302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2C4"/>
    <w:rsid w:val="00013EBF"/>
    <w:rsid w:val="000B7025"/>
    <w:rsid w:val="001D1C4C"/>
    <w:rsid w:val="001F18A9"/>
    <w:rsid w:val="00232B01"/>
    <w:rsid w:val="002B35F9"/>
    <w:rsid w:val="0032620A"/>
    <w:rsid w:val="003F2471"/>
    <w:rsid w:val="004158C7"/>
    <w:rsid w:val="004452AA"/>
    <w:rsid w:val="005279D9"/>
    <w:rsid w:val="00572A0A"/>
    <w:rsid w:val="005B27E1"/>
    <w:rsid w:val="007E1C49"/>
    <w:rsid w:val="00844883"/>
    <w:rsid w:val="008D5EEC"/>
    <w:rsid w:val="00A2485D"/>
    <w:rsid w:val="00BA6D91"/>
    <w:rsid w:val="00C03B06"/>
    <w:rsid w:val="00CA5600"/>
    <w:rsid w:val="00CC4C3E"/>
    <w:rsid w:val="00CC52C4"/>
    <w:rsid w:val="00D134AE"/>
    <w:rsid w:val="00D64A76"/>
    <w:rsid w:val="00DD06D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46E51"/>
  <w15:docId w15:val="{4F2F3A44-28B9-4470-9C57-3062C84303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rial"/>
        <w:kern w:val="3"/>
        <w:sz w:val="24"/>
        <w:szCs w:val="24"/>
        <w:lang w:val="en-US" w:eastAsia="en-US" w:bidi="ar-SA"/>
      </w:rPr>
    </w:rPrDefault>
    <w:pPrDefault>
      <w:pPr>
        <w:autoSpaceDN w:val="0"/>
        <w:spacing w:after="160" w:line="27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val="fr-FR"/>
    </w:rPr>
  </w:style>
  <w:style w:type="paragraph" w:styleId="Heading1">
    <w:name w:val="heading 1"/>
    <w:basedOn w:val="Normal"/>
    <w:next w:val="Normal"/>
    <w:uiPriority w:val="9"/>
    <w:qFormat/>
    <w:pPr>
      <w:keepNext/>
      <w:keepLines/>
      <w:spacing w:before="360" w:after="80"/>
      <w:outlineLvl w:val="0"/>
    </w:pPr>
    <w:rPr>
      <w:rFonts w:ascii="Aptos Display" w:eastAsia="Yu Gothic Light"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Yu Gothic Light"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Yu Gothic Light"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Yu Gothic Light"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Yu Gothic Light" w:cs="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Yu Gothic Light" w:cs="Times New Roman"/>
      <w:i/>
      <w:iCs/>
      <w:color w:val="595959"/>
    </w:rPr>
  </w:style>
  <w:style w:type="paragraph" w:styleId="Heading7">
    <w:name w:val="heading 7"/>
    <w:basedOn w:val="Normal"/>
    <w:next w:val="Normal"/>
    <w:pPr>
      <w:keepNext/>
      <w:keepLines/>
      <w:spacing w:before="40" w:after="0"/>
      <w:outlineLvl w:val="6"/>
    </w:pPr>
    <w:rPr>
      <w:rFonts w:eastAsia="Yu Gothic Light" w:cs="Times New Roman"/>
      <w:color w:val="595959"/>
    </w:rPr>
  </w:style>
  <w:style w:type="paragraph" w:styleId="Heading8">
    <w:name w:val="heading 8"/>
    <w:basedOn w:val="Normal"/>
    <w:next w:val="Normal"/>
    <w:pPr>
      <w:keepNext/>
      <w:keepLines/>
      <w:spacing w:after="0"/>
      <w:outlineLvl w:val="7"/>
    </w:pPr>
    <w:rPr>
      <w:rFonts w:eastAsia="Yu Gothic Light" w:cs="Times New Roman"/>
      <w:i/>
      <w:iCs/>
      <w:color w:val="272727"/>
    </w:rPr>
  </w:style>
  <w:style w:type="paragraph" w:styleId="Heading9">
    <w:name w:val="heading 9"/>
    <w:basedOn w:val="Normal"/>
    <w:next w:val="Normal"/>
    <w:pPr>
      <w:keepNext/>
      <w:keepLines/>
      <w:spacing w:after="0"/>
      <w:outlineLvl w:val="8"/>
    </w:pPr>
    <w:rPr>
      <w:rFonts w:eastAsia="Yu Gothic Light"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basedOn w:val="DefaultParagraphFont"/>
    <w:rPr>
      <w:rFonts w:ascii="Aptos Display" w:eastAsia="Yu Gothic Light" w:hAnsi="Aptos Display" w:cs="Times New Roman"/>
      <w:color w:val="0F4761"/>
      <w:sz w:val="40"/>
      <w:szCs w:val="40"/>
    </w:rPr>
  </w:style>
  <w:style w:type="character" w:customStyle="1" w:styleId="Titre2Car">
    <w:name w:val="Titre 2 Car"/>
    <w:basedOn w:val="DefaultParagraphFont"/>
    <w:rPr>
      <w:rFonts w:ascii="Aptos Display" w:eastAsia="Yu Gothic Light" w:hAnsi="Aptos Display" w:cs="Times New Roman"/>
      <w:color w:val="0F4761"/>
      <w:sz w:val="32"/>
      <w:szCs w:val="32"/>
    </w:rPr>
  </w:style>
  <w:style w:type="character" w:customStyle="1" w:styleId="Titre3Car">
    <w:name w:val="Titre 3 Car"/>
    <w:basedOn w:val="DefaultParagraphFont"/>
    <w:rPr>
      <w:rFonts w:eastAsia="Yu Gothic Light" w:cs="Times New Roman"/>
      <w:color w:val="0F4761"/>
      <w:sz w:val="28"/>
      <w:szCs w:val="28"/>
    </w:rPr>
  </w:style>
  <w:style w:type="character" w:customStyle="1" w:styleId="Titre4Car">
    <w:name w:val="Titre 4 Car"/>
    <w:basedOn w:val="DefaultParagraphFont"/>
    <w:rPr>
      <w:rFonts w:eastAsia="Yu Gothic Light" w:cs="Times New Roman"/>
      <w:i/>
      <w:iCs/>
      <w:color w:val="0F4761"/>
    </w:rPr>
  </w:style>
  <w:style w:type="character" w:customStyle="1" w:styleId="Titre5Car">
    <w:name w:val="Titre 5 Car"/>
    <w:basedOn w:val="DefaultParagraphFont"/>
    <w:rPr>
      <w:rFonts w:eastAsia="Yu Gothic Light" w:cs="Times New Roman"/>
      <w:color w:val="0F4761"/>
    </w:rPr>
  </w:style>
  <w:style w:type="character" w:customStyle="1" w:styleId="Titre6Car">
    <w:name w:val="Titre 6 Car"/>
    <w:basedOn w:val="DefaultParagraphFont"/>
    <w:rPr>
      <w:rFonts w:eastAsia="Yu Gothic Light" w:cs="Times New Roman"/>
      <w:i/>
      <w:iCs/>
      <w:color w:val="595959"/>
    </w:rPr>
  </w:style>
  <w:style w:type="character" w:customStyle="1" w:styleId="Titre7Car">
    <w:name w:val="Titre 7 Car"/>
    <w:basedOn w:val="DefaultParagraphFont"/>
    <w:rPr>
      <w:rFonts w:eastAsia="Yu Gothic Light" w:cs="Times New Roman"/>
      <w:color w:val="595959"/>
    </w:rPr>
  </w:style>
  <w:style w:type="character" w:customStyle="1" w:styleId="Titre8Car">
    <w:name w:val="Titre 8 Car"/>
    <w:basedOn w:val="DefaultParagraphFont"/>
    <w:rPr>
      <w:rFonts w:eastAsia="Yu Gothic Light" w:cs="Times New Roman"/>
      <w:i/>
      <w:iCs/>
      <w:color w:val="272727"/>
    </w:rPr>
  </w:style>
  <w:style w:type="character" w:customStyle="1" w:styleId="Titre9Car">
    <w:name w:val="Titre 9 Car"/>
    <w:basedOn w:val="DefaultParagraphFont"/>
    <w:rPr>
      <w:rFonts w:eastAsia="Yu Gothic Light" w:cs="Times New Roman"/>
      <w:color w:val="272727"/>
    </w:rPr>
  </w:style>
  <w:style w:type="paragraph" w:styleId="Title">
    <w:name w:val="Title"/>
    <w:basedOn w:val="Normal"/>
    <w:next w:val="Normal"/>
    <w:uiPriority w:val="10"/>
    <w:qFormat/>
    <w:pPr>
      <w:spacing w:after="80" w:line="240" w:lineRule="auto"/>
    </w:pPr>
    <w:rPr>
      <w:rFonts w:ascii="Aptos Display" w:eastAsia="Yu Gothic Light" w:hAnsi="Aptos Display" w:cs="Times New Roman"/>
      <w:sz w:val="56"/>
      <w:szCs w:val="56"/>
    </w:rPr>
  </w:style>
  <w:style w:type="character" w:customStyle="1" w:styleId="TitreCar">
    <w:name w:val="Titre Car"/>
    <w:basedOn w:val="DefaultParagraphFont"/>
    <w:rPr>
      <w:rFonts w:ascii="Aptos Display" w:eastAsia="Yu Gothic Light" w:hAnsi="Aptos Display" w:cs="Times New Roman"/>
      <w:spacing w:val="-10"/>
      <w:kern w:val="3"/>
      <w:sz w:val="56"/>
      <w:szCs w:val="56"/>
    </w:rPr>
  </w:style>
  <w:style w:type="paragraph" w:styleId="Subtitle">
    <w:name w:val="Subtitle"/>
    <w:basedOn w:val="Normal"/>
    <w:next w:val="Normal"/>
    <w:uiPriority w:val="11"/>
    <w:qFormat/>
    <w:rPr>
      <w:rFonts w:eastAsia="Yu Gothic Light" w:cs="Times New Roman"/>
      <w:color w:val="595959"/>
      <w:sz w:val="28"/>
      <w:szCs w:val="28"/>
    </w:rPr>
  </w:style>
  <w:style w:type="character" w:customStyle="1" w:styleId="Sous-titreCar">
    <w:name w:val="Sous-titre Car"/>
    <w:basedOn w:val="DefaultParagraphFont"/>
    <w:rPr>
      <w:rFonts w:eastAsia="Yu Gothic Light"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CitationCar">
    <w:name w:val="Citation Car"/>
    <w:basedOn w:val="DefaultParagraphFont"/>
    <w:rPr>
      <w:i/>
      <w:iCs/>
      <w:color w:val="404040"/>
    </w:rPr>
  </w:style>
  <w:style w:type="paragraph" w:styleId="ListParagraph">
    <w:name w:val="List Paragraph"/>
    <w:basedOn w:val="Normal"/>
    <w:pPr>
      <w:ind w:left="720"/>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CitationintenseCar">
    <w:name w:val="Citation intense C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CommentText">
    <w:name w:val="annotation text"/>
    <w:basedOn w:val="Normal"/>
    <w:pPr>
      <w:spacing w:line="240" w:lineRule="auto"/>
    </w:pPr>
    <w:rPr>
      <w:sz w:val="20"/>
      <w:szCs w:val="20"/>
    </w:rPr>
  </w:style>
  <w:style w:type="character" w:customStyle="1" w:styleId="CommentaireCar">
    <w:name w:val="Commentaire Car"/>
    <w:basedOn w:val="DefaultParagraphFont"/>
    <w:rPr>
      <w:sz w:val="20"/>
      <w:szCs w:val="20"/>
    </w:rPr>
  </w:style>
  <w:style w:type="character" w:styleId="CommentReference">
    <w:name w:val="annotation reference"/>
    <w:basedOn w:val="DefaultParagraphFont"/>
    <w:rPr>
      <w:sz w:val="16"/>
      <w:szCs w:val="16"/>
    </w:rPr>
  </w:style>
  <w:style w:type="paragraph" w:styleId="Footer">
    <w:name w:val="footer"/>
    <w:basedOn w:val="Normal"/>
    <w:pPr>
      <w:tabs>
        <w:tab w:val="center" w:pos="4513"/>
        <w:tab w:val="right" w:pos="9026"/>
      </w:tabs>
      <w:spacing w:after="0" w:line="240" w:lineRule="auto"/>
    </w:pPr>
  </w:style>
  <w:style w:type="character" w:customStyle="1" w:styleId="PieddepageCar">
    <w:name w:val="Pied de page Car"/>
    <w:basedOn w:val="DefaultParagraphFont"/>
  </w:style>
  <w:style w:type="character" w:styleId="PageNumber">
    <w:name w:val="page number"/>
    <w:basedOn w:val="DefaultParagraphFont"/>
  </w:style>
  <w:style w:type="paragraph" w:styleId="Header">
    <w:name w:val="header"/>
    <w:basedOn w:val="Normal"/>
    <w:pPr>
      <w:tabs>
        <w:tab w:val="center" w:pos="4513"/>
        <w:tab w:val="right" w:pos="9026"/>
      </w:tabs>
      <w:spacing w:after="0" w:line="240" w:lineRule="auto"/>
    </w:pPr>
  </w:style>
  <w:style w:type="character" w:customStyle="1" w:styleId="En-tteCar">
    <w:name w:val="En-tête Car"/>
    <w:basedOn w:val="DefaultParagraphFont"/>
    <w:rPr>
      <w:lang w:val="fr-FR"/>
    </w:rPr>
  </w:style>
  <w:style w:type="paragraph" w:styleId="CommentSubject">
    <w:name w:val="annotation subject"/>
    <w:basedOn w:val="CommentText"/>
    <w:next w:val="CommentText"/>
    <w:rPr>
      <w:b/>
      <w:bCs/>
    </w:rPr>
  </w:style>
  <w:style w:type="character" w:customStyle="1" w:styleId="ObjetducommentaireCar">
    <w:name w:val="Objet du commentaire Car"/>
    <w:basedOn w:val="CommentaireCar"/>
    <w:rPr>
      <w:b/>
      <w:bCs/>
      <w:sz w:val="20"/>
      <w:szCs w:val="20"/>
      <w:lang w:val="fr-FR"/>
    </w:rPr>
  </w:style>
  <w:style w:type="paragraph" w:styleId="Revision">
    <w:name w:val="Revision"/>
    <w:pPr>
      <w:suppressAutoHyphens/>
      <w:spacing w:after="0" w:line="240" w:lineRule="auto"/>
    </w:pPr>
    <w:rPr>
      <w:lang w:val="fr-FR"/>
    </w:rPr>
  </w:style>
  <w:style w:type="character" w:styleId="Emphasis">
    <w:name w:val="Emphasis"/>
    <w:basedOn w:val="DefaultParagraphFont"/>
    <w:rPr>
      <w:i/>
      <w:iCs/>
    </w:rPr>
  </w:style>
  <w:style w:type="character" w:styleId="UnresolvedMention">
    <w:name w:val="Unresolved Mention"/>
    <w:basedOn w:val="DefaultParagraphFont"/>
    <w:rPr>
      <w:color w:val="605E5C"/>
      <w:shd w:val="clear" w:color="auto" w:fill="E1DFDD"/>
    </w:rPr>
  </w:style>
  <w:style w:type="paragraph" w:customStyle="1" w:styleId="Bibliography1">
    <w:name w:val="Bibliography1"/>
    <w:basedOn w:val="Normal"/>
    <w:pPr>
      <w:spacing w:before="120" w:after="0" w:line="480" w:lineRule="auto"/>
      <w:ind w:left="720" w:hanging="720"/>
    </w:pPr>
    <w:rPr>
      <w:rFonts w:ascii="Times New Roman" w:eastAsia="Times New Roman" w:hAnsi="Times New Roman" w:cs="Times New Roman"/>
    </w:rPr>
  </w:style>
  <w:style w:type="character" w:styleId="FollowedHyperlink">
    <w:name w:val="FollowedHyperlink"/>
    <w:basedOn w:val="DefaultParagraphFont"/>
    <w:rPr>
      <w:color w:val="96607D"/>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hs.cairn.info/l-education-plurilingue-et-interculturelle-la-perspective-du-conseil-de-l-europe-ebook--9782278086689-page-24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3917/har.cifal.2012.01.0009" TargetMode="External"/><Relationship Id="rId12" Type="http://schemas.openxmlformats.org/officeDocument/2006/relationships/hyperlink" Target="https://doi.org/10.35542/osf.io/av62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urnals.openedition.org/sejed/109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rm.coe.int/168069d29c" TargetMode="External"/><Relationship Id="rId4" Type="http://schemas.openxmlformats.org/officeDocument/2006/relationships/webSettings" Target="webSettings.xml"/><Relationship Id="rId9" Type="http://schemas.openxmlformats.org/officeDocument/2006/relationships/hyperlink" Target="https://rm.coe.int/volume-complementaire-au-cecr/16809ea0d4" TargetMode="Externa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4</Pages>
  <Words>1831</Words>
  <Characters>10441</Characters>
  <Application>Microsoft Office Word</Application>
  <DocSecurity>0</DocSecurity>
  <Lines>87</Lines>
  <Paragraphs>24</Paragraphs>
  <ScaleCrop>false</ScaleCrop>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Hajiba Ankach</dc:creator>
  <cp:keywords/>
  <dc:description/>
  <cp:lastModifiedBy>Hajiba Ankach</cp:lastModifiedBy>
  <cp:revision>14</cp:revision>
  <cp:lastPrinted>2025-07-28T00:33:00Z</cp:lastPrinted>
  <dcterms:created xsi:type="dcterms:W3CDTF">2025-07-31T17:43:00Z</dcterms:created>
  <dcterms:modified xsi:type="dcterms:W3CDTF">2025-07-31T13:41:00Z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zotero-version="6.0.37"&gt;&lt;session id="s04Sw4dy"/&gt;&lt;style id="http://www.zotero.org/styles/apa" locale="fr-FR" hasBibliography="1" bibliographyStyleHasBeenSet="1"/&gt;&lt;prefs&gt;&lt;pref name="fieldType" value="Field"/&gt;&lt;/prefs&gt;&lt;/data&gt;</vt:lpwstr>
  </property>
</Properties>
</file>